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1AD7D32E"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Број</w:t>
      </w:r>
      <w:r w:rsidRPr="007C77C0">
        <w:rPr>
          <w:rFonts w:ascii="Times New Roman" w:hAnsi="Times New Roman" w:cs="Times New Roman"/>
          <w:sz w:val="24"/>
          <w:szCs w:val="24"/>
          <w:lang w:val="ru-RU"/>
        </w:rPr>
        <w:t xml:space="preserve">: </w:t>
      </w:r>
      <w:r w:rsidR="00B95F91" w:rsidRPr="007C77C0">
        <w:rPr>
          <w:rFonts w:ascii="Times New Roman" w:hAnsi="Times New Roman" w:cs="Times New Roman"/>
          <w:sz w:val="24"/>
          <w:szCs w:val="24"/>
          <w:lang w:val="ru-RU"/>
        </w:rPr>
        <w:t>404-02-</w:t>
      </w:r>
      <w:r w:rsidR="006A7776">
        <w:rPr>
          <w:rFonts w:ascii="Times New Roman" w:hAnsi="Times New Roman" w:cs="Times New Roman"/>
          <w:sz w:val="24"/>
          <w:szCs w:val="24"/>
          <w:lang w:val="sr-Cyrl-RS"/>
        </w:rPr>
        <w:t>1</w:t>
      </w:r>
      <w:r w:rsidR="00444AA2">
        <w:rPr>
          <w:rFonts w:ascii="Times New Roman" w:hAnsi="Times New Roman" w:cs="Times New Roman"/>
          <w:sz w:val="24"/>
          <w:szCs w:val="24"/>
          <w:lang w:val="sr-Cyrl-RS"/>
        </w:rPr>
        <w:t>1</w:t>
      </w:r>
      <w:r w:rsidR="00B95F91" w:rsidRPr="007C77C0">
        <w:rPr>
          <w:rFonts w:ascii="Times New Roman" w:hAnsi="Times New Roman" w:cs="Times New Roman"/>
          <w:sz w:val="24"/>
          <w:szCs w:val="24"/>
          <w:lang w:val="ru-RU"/>
        </w:rPr>
        <w:t>/2025-02/0</w:t>
      </w:r>
      <w:r w:rsidR="00B95F91" w:rsidRPr="007C77C0">
        <w:rPr>
          <w:rFonts w:ascii="Times New Roman" w:hAnsi="Times New Roman" w:cs="Times New Roman"/>
          <w:sz w:val="24"/>
          <w:szCs w:val="24"/>
          <w:lang w:val="sr-Latn-RS"/>
        </w:rPr>
        <w:t>4</w:t>
      </w:r>
    </w:p>
    <w:p w14:paraId="585AA079" w14:textId="1F9AB61E"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F1588D">
        <w:rPr>
          <w:rFonts w:ascii="Times New Roman" w:hAnsi="Times New Roman" w:cs="Times New Roman"/>
          <w:sz w:val="24"/>
          <w:szCs w:val="24"/>
          <w:lang w:val="sr-Latn-RS"/>
        </w:rPr>
        <w:t>2</w:t>
      </w:r>
      <w:r w:rsidR="00A47593">
        <w:rPr>
          <w:rFonts w:ascii="Times New Roman" w:hAnsi="Times New Roman" w:cs="Times New Roman"/>
          <w:sz w:val="24"/>
          <w:szCs w:val="24"/>
          <w:lang w:val="sr-Latn-RS"/>
        </w:rPr>
        <w:t>6</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2BCD4578" w:rsidR="00515ACE" w:rsidRPr="007C77C0" w:rsidRDefault="00634C1E" w:rsidP="00D0493D">
      <w:pPr>
        <w:pStyle w:val="PlainText"/>
        <w:tabs>
          <w:tab w:val="left" w:pos="720"/>
          <w:tab w:val="left" w:pos="2160"/>
          <w:tab w:val="left" w:pos="2880"/>
          <w:tab w:val="left" w:pos="3600"/>
          <w:tab w:val="left" w:pos="4320"/>
          <w:tab w:val="left" w:pos="5040"/>
          <w:tab w:val="left" w:pos="5790"/>
        </w:tabs>
        <w:ind w:left="-126" w:right="-330"/>
        <w:jc w:val="center"/>
        <w:outlineLvl w:val="0"/>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Консултант за </w:t>
      </w:r>
      <w:r w:rsidR="007C77C0">
        <w:rPr>
          <w:rFonts w:ascii="Times New Roman" w:hAnsi="Times New Roman" w:cs="Times New Roman"/>
          <w:b/>
          <w:bCs/>
          <w:sz w:val="24"/>
          <w:szCs w:val="24"/>
          <w:lang w:val="sr-Cyrl-RS"/>
        </w:rPr>
        <w:t xml:space="preserve">припрему </w:t>
      </w:r>
      <w:r w:rsidR="005579CC" w:rsidRPr="005579CC">
        <w:rPr>
          <w:rFonts w:ascii="Times New Roman" w:hAnsi="Times New Roman" w:cs="Times New Roman"/>
          <w:b/>
          <w:bCs/>
          <w:sz w:val="24"/>
          <w:szCs w:val="24"/>
          <w:lang w:val="sr-Cyrl-RS"/>
        </w:rPr>
        <w:t>компаративне анализе о квалификацијама на нивоу 5</w:t>
      </w:r>
      <w:r w:rsidR="005579CC" w:rsidRPr="004310CA">
        <w:rPr>
          <w:rFonts w:ascii="Times New Roman" w:hAnsi="Times New Roman" w:cs="Times New Roman"/>
          <w:sz w:val="24"/>
          <w:szCs w:val="24"/>
          <w:lang w:val="sr-Cyrl-RS"/>
        </w:rPr>
        <w:t xml:space="preserve"> </w:t>
      </w:r>
      <w:r w:rsidR="007C77C0">
        <w:rPr>
          <w:rFonts w:ascii="Times New Roman" w:hAnsi="Times New Roman" w:cs="Times New Roman"/>
          <w:b/>
          <w:bCs/>
          <w:sz w:val="24"/>
          <w:szCs w:val="24"/>
          <w:lang w:val="sr-Cyrl-RS"/>
        </w:rPr>
        <w:t xml:space="preserve">НОКС-а </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3D27F8A0"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7C77C0">
        <w:rPr>
          <w:rFonts w:ascii="Times New Roman" w:hAnsi="Times New Roman" w:cs="Times New Roman"/>
          <w:sz w:val="24"/>
          <w:szCs w:val="24"/>
          <w:lang w:val="sr-Cyrl-RS"/>
        </w:rPr>
        <w:t xml:space="preserve">припрему </w:t>
      </w:r>
      <w:r w:rsidR="00236879" w:rsidRPr="004310CA">
        <w:rPr>
          <w:rFonts w:ascii="Times New Roman" w:hAnsi="Times New Roman" w:cs="Times New Roman"/>
          <w:sz w:val="24"/>
          <w:szCs w:val="24"/>
          <w:lang w:val="sr-Cyrl-RS"/>
        </w:rPr>
        <w:t xml:space="preserve">компаративне анализе о квалификацијама на нивоу 5 </w:t>
      </w:r>
      <w:r w:rsidR="007C77C0">
        <w:rPr>
          <w:rFonts w:ascii="Times New Roman" w:hAnsi="Times New Roman" w:cs="Times New Roman"/>
          <w:sz w:val="24"/>
          <w:szCs w:val="24"/>
          <w:lang w:val="sr-Cyrl-RS"/>
        </w:rPr>
        <w:t>НОКС-а</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7077AE3F" w14:textId="14E0B4EC" w:rsidR="009F420F" w:rsidRDefault="00C80D42" w:rsidP="00CC4071">
      <w:pPr>
        <w:pBdr>
          <w:top w:val="nil"/>
          <w:left w:val="nil"/>
          <w:bottom w:val="nil"/>
          <w:right w:val="nil"/>
          <w:between w:val="nil"/>
        </w:pBdr>
        <w:spacing w:after="360"/>
        <w:ind w:left="-142" w:right="-329"/>
        <w:jc w:val="both"/>
        <w:rPr>
          <w:rFonts w:ascii="Times New Roman" w:hAnsi="Times New Roman"/>
          <w:sz w:val="24"/>
          <w:szCs w:val="24"/>
          <w:lang w:val="sr-Cyrl-RS"/>
        </w:rPr>
      </w:pPr>
      <w:r w:rsidRPr="0099299E">
        <w:rPr>
          <w:rFonts w:ascii="Times New Roman" w:hAnsi="Times New Roman" w:cs="Times New Roman"/>
          <w:sz w:val="24"/>
          <w:szCs w:val="24"/>
          <w:lang w:val="sr-Cyrl-RS"/>
        </w:rPr>
        <w:lastRenderedPageBreak/>
        <w:t xml:space="preserve">Када је реч о </w:t>
      </w:r>
      <w:r w:rsidR="00747647" w:rsidRPr="0099299E">
        <w:rPr>
          <w:rFonts w:ascii="Times New Roman" w:hAnsi="Times New Roman" w:cs="Times New Roman"/>
          <w:sz w:val="24"/>
          <w:szCs w:val="24"/>
          <w:lang w:val="sr-Cyrl-RS"/>
        </w:rPr>
        <w:t>унапређењу</w:t>
      </w:r>
      <w:r w:rsidRPr="0099299E">
        <w:rPr>
          <w:rFonts w:ascii="Times New Roman" w:hAnsi="Times New Roman" w:cs="Times New Roman"/>
          <w:sz w:val="24"/>
          <w:szCs w:val="24"/>
          <w:lang w:val="sr-Cyrl-RS"/>
        </w:rPr>
        <w:t xml:space="preserve"> система НОКС-а</w:t>
      </w:r>
      <w:r w:rsidR="00B54E13" w:rsidRPr="0099299E">
        <w:rPr>
          <w:rFonts w:ascii="Times New Roman" w:hAnsi="Times New Roman" w:cs="Times New Roman"/>
          <w:sz w:val="24"/>
          <w:szCs w:val="24"/>
          <w:lang w:val="sr-Cyrl-RS"/>
        </w:rPr>
        <w:t xml:space="preserve"> у контексту целоживотног учења</w:t>
      </w:r>
      <w:r w:rsidRPr="0099299E">
        <w:rPr>
          <w:rFonts w:ascii="Times New Roman" w:hAnsi="Times New Roman" w:cs="Times New Roman"/>
          <w:sz w:val="24"/>
          <w:szCs w:val="24"/>
          <w:lang w:val="sr-Cyrl-RS"/>
        </w:rPr>
        <w:t xml:space="preserve">, </w:t>
      </w:r>
      <w:r w:rsidR="002C3887" w:rsidRPr="0099299E">
        <w:rPr>
          <w:rFonts w:ascii="Times New Roman" w:hAnsi="Times New Roman" w:cs="Times New Roman"/>
          <w:sz w:val="24"/>
          <w:szCs w:val="24"/>
          <w:lang w:val="sr-Cyrl-RS"/>
        </w:rPr>
        <w:t xml:space="preserve">пројектне активности су, између осталог, усмерене и на </w:t>
      </w:r>
      <w:r w:rsidR="00460A08" w:rsidRPr="0099299E">
        <w:rPr>
          <w:rFonts w:ascii="Times New Roman" w:hAnsi="Times New Roman"/>
          <w:sz w:val="24"/>
          <w:szCs w:val="24"/>
          <w:lang w:val="sr-Cyrl-RS"/>
        </w:rPr>
        <w:t>унапређивање проходности у систему Националног оквира квалификација и његовој</w:t>
      </w:r>
      <w:r w:rsidR="00460A08" w:rsidRPr="00BF42AC">
        <w:rPr>
          <w:rFonts w:ascii="Times New Roman" w:hAnsi="Times New Roman"/>
          <w:sz w:val="24"/>
          <w:szCs w:val="24"/>
          <w:lang w:val="sr-Cyrl-RS"/>
        </w:rPr>
        <w:t xml:space="preserve"> даљој хармонизацији са европским политикама.</w:t>
      </w:r>
      <w:r w:rsidR="009F420F">
        <w:rPr>
          <w:rFonts w:ascii="Times New Roman" w:hAnsi="Times New Roman"/>
          <w:sz w:val="24"/>
          <w:szCs w:val="24"/>
          <w:lang w:val="sr-Cyrl-RS"/>
        </w:rPr>
        <w:t xml:space="preserve"> </w:t>
      </w:r>
      <w:bookmarkStart w:id="0" w:name="_Hlk174337197"/>
      <w:r w:rsidR="00B5214B" w:rsidRPr="004310CA">
        <w:rPr>
          <w:rFonts w:ascii="Times New Roman" w:hAnsi="Times New Roman"/>
          <w:sz w:val="24"/>
          <w:szCs w:val="24"/>
          <w:lang w:val="sr-Cyrl-RS"/>
        </w:rPr>
        <w:t>Уз анализе понуде образовања и обука, понуде и потражње за занимањима и вештинама, планирана је и анализа проходности кроз нивое НОКС-а са препорукама за унапређење. Циљ је да се, пре свега, понуда програма и образовања  усклади са потребама за знањима и вештинама на тржишту рада, али и да се истовремено унапреде могућности за хоризонталну и вертикалну проходност кроз све нивое НОКС-а</w:t>
      </w:r>
      <w:bookmarkEnd w:id="0"/>
      <w:r w:rsidR="00626D6C">
        <w:rPr>
          <w:rFonts w:ascii="Times New Roman" w:hAnsi="Times New Roman"/>
          <w:sz w:val="24"/>
          <w:szCs w:val="24"/>
          <w:lang w:val="sr-Cyrl-RS"/>
        </w:rPr>
        <w:t>.</w:t>
      </w:r>
      <w:r w:rsidR="0099299E">
        <w:rPr>
          <w:rFonts w:ascii="Times New Roman" w:hAnsi="Times New Roman"/>
          <w:sz w:val="24"/>
          <w:szCs w:val="24"/>
          <w:lang w:val="sr-Cyrl-RS"/>
        </w:rPr>
        <w:t xml:space="preserve"> </w:t>
      </w:r>
      <w:r w:rsidR="0099299E">
        <w:rPr>
          <w:rFonts w:ascii="Times New Roman" w:hAnsi="Times New Roman" w:cs="Times New Roman"/>
          <w:sz w:val="24"/>
          <w:szCs w:val="24"/>
          <w:lang w:val="sr-Cyrl-RS"/>
        </w:rPr>
        <w:t xml:space="preserve">Консултант ће </w:t>
      </w:r>
      <w:r w:rsidR="00F80293" w:rsidRPr="004310CA">
        <w:rPr>
          <w:rFonts w:ascii="Times New Roman" w:hAnsi="Times New Roman" w:cs="Times New Roman"/>
          <w:sz w:val="24"/>
          <w:szCs w:val="24"/>
          <w:lang w:val="sr-Cyrl-RS"/>
        </w:rPr>
        <w:t>припремити компаративну анализу квалификација на нивоу 5 у најмање пет одабраних европских земаља које имају различите приступе овом нивоу квалификација. Анализа ће се фокусирати на идентификацију квалификација на нивоу 5 (сврха, компетенције, сектори у којима се јављају), начине стицања квалификација на нивоу 5, поређење са НОКС-ом и идентификацију разлика, развој препорука за унапређење нивоа 5 у НОКС-у, на основу анализираних међународних пракси</w:t>
      </w:r>
      <w:r w:rsidR="0099299E">
        <w:rPr>
          <w:rFonts w:ascii="Times New Roman" w:hAnsi="Times New Roman" w:cs="Times New Roman"/>
          <w:sz w:val="24"/>
          <w:szCs w:val="24"/>
          <w:lang w:val="sr-Cyrl-RS"/>
        </w:rPr>
        <w:t>.</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0943BD95"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очекује </w:t>
      </w:r>
      <w:r w:rsidR="00757BF8">
        <w:rPr>
          <w:rFonts w:ascii="Times New Roman" w:hAnsi="Times New Roman" w:cs="Times New Roman"/>
          <w:sz w:val="24"/>
          <w:szCs w:val="24"/>
          <w:lang w:val="sr-Cyrl-RS"/>
        </w:rPr>
        <w:t xml:space="preserve">се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46664AE8" w14:textId="06B15C99" w:rsidR="00C80D42" w:rsidRPr="005C10C8" w:rsidRDefault="007B35E4"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5C10C8">
        <w:rPr>
          <w:rFonts w:ascii="Times New Roman" w:hAnsi="Times New Roman" w:cs="Times New Roman"/>
          <w:sz w:val="24"/>
          <w:szCs w:val="24"/>
          <w:lang w:val="sr-Cyrl-RS"/>
        </w:rPr>
        <w:t>Анализа националних оквира квалификација и прикупљање података кроз релевантне националне и међународне изворе и базе података</w:t>
      </w:r>
      <w:r w:rsidR="00C80D42" w:rsidRPr="005C10C8">
        <w:rPr>
          <w:rFonts w:ascii="Times New Roman" w:hAnsi="Times New Roman" w:cs="Times New Roman"/>
          <w:sz w:val="24"/>
          <w:szCs w:val="24"/>
          <w:lang w:val="sr-Cyrl-RS"/>
        </w:rPr>
        <w:t>;</w:t>
      </w:r>
    </w:p>
    <w:p w14:paraId="62C5EFF3" w14:textId="035D92FE" w:rsidR="000E0A37" w:rsidRPr="005C10C8" w:rsidRDefault="00170903"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5C10C8">
        <w:rPr>
          <w:rFonts w:ascii="Times New Roman" w:hAnsi="Times New Roman" w:cs="Times New Roman"/>
          <w:sz w:val="24"/>
          <w:szCs w:val="24"/>
          <w:lang w:val="sr-Cyrl-RS"/>
        </w:rPr>
        <w:t>Припрема компаративног прегледа кључних елемената и аспеката квалификација на нивоу 5 у анализираним земљама (сврха, исходи учења, механизми стицања, веза са тржиштем рада и образовним системом)</w:t>
      </w:r>
      <w:r w:rsidR="00A027D5" w:rsidRPr="005C10C8">
        <w:rPr>
          <w:rFonts w:ascii="Times New Roman" w:hAnsi="Times New Roman" w:cs="Times New Roman"/>
          <w:sz w:val="24"/>
          <w:szCs w:val="24"/>
          <w:lang w:val="sr-Cyrl-RS"/>
        </w:rPr>
        <w:t>;</w:t>
      </w:r>
    </w:p>
    <w:p w14:paraId="031DE1F3" w14:textId="5992EE50" w:rsidR="00170903" w:rsidRPr="005C10C8" w:rsidRDefault="00D90B22"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5C10C8">
        <w:rPr>
          <w:rFonts w:ascii="Times New Roman" w:hAnsi="Times New Roman" w:cs="Times New Roman"/>
          <w:sz w:val="24"/>
          <w:szCs w:val="24"/>
          <w:lang w:val="sr-Cyrl-RS"/>
        </w:rPr>
        <w:t>Формулисање препорука заснованих на добрим праксама земаља које имају развијене моделе и са фокусом на решења примењива у националном контексту;</w:t>
      </w:r>
    </w:p>
    <w:p w14:paraId="4801A739" w14:textId="0E5B90F7" w:rsidR="00427489" w:rsidRPr="005C10C8" w:rsidRDefault="005C10C8" w:rsidP="00427489">
      <w:pPr>
        <w:pStyle w:val="ListParagraph"/>
        <w:numPr>
          <w:ilvl w:val="0"/>
          <w:numId w:val="27"/>
        </w:numPr>
        <w:suppressAutoHyphens/>
        <w:spacing w:after="360"/>
        <w:ind w:left="714" w:hanging="357"/>
        <w:contextualSpacing w:val="0"/>
        <w:jc w:val="both"/>
        <w:textDirection w:val="btLr"/>
        <w:textAlignment w:val="top"/>
        <w:outlineLvl w:val="0"/>
        <w:rPr>
          <w:rFonts w:ascii="Times New Roman" w:hAnsi="Times New Roman" w:cs="Times New Roman"/>
          <w:sz w:val="24"/>
          <w:szCs w:val="24"/>
          <w:lang w:val="sr-Cyrl-RS"/>
        </w:rPr>
      </w:pPr>
      <w:r w:rsidRPr="005C10C8">
        <w:rPr>
          <w:rFonts w:ascii="Times New Roman" w:hAnsi="Times New Roman" w:cs="Times New Roman"/>
          <w:sz w:val="24"/>
          <w:szCs w:val="24"/>
          <w:lang w:val="sr-Cyrl-RS"/>
        </w:rPr>
        <w:t>Презентација резултата релевантним актерима</w:t>
      </w:r>
      <w:r w:rsidR="00427489" w:rsidRPr="005C10C8">
        <w:rPr>
          <w:rFonts w:ascii="Times New Roman" w:hAnsi="Times New Roman" w:cs="Times New Roman"/>
          <w:sz w:val="24"/>
          <w:szCs w:val="24"/>
          <w:lang w:val="sr-Cyrl-RS"/>
        </w:rPr>
        <w:t>.</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427C4E49" w14:textId="3C859D25" w:rsidR="007C77C0" w:rsidRPr="007C77C0" w:rsidRDefault="007C77C0" w:rsidP="007C77C0">
      <w:pPr>
        <w:numPr>
          <w:ilvl w:val="0"/>
          <w:numId w:val="34"/>
        </w:numPr>
        <w:suppressAutoHyphens/>
        <w:spacing w:before="60" w:after="0" w:line="264" w:lineRule="auto"/>
        <w:ind w:left="714" w:hanging="357"/>
        <w:jc w:val="both"/>
        <w:outlineLvl w:val="0"/>
        <w:rPr>
          <w:rFonts w:ascii="Times New Roman" w:hAnsi="Times New Roman" w:cs="Times New Roman"/>
          <w:sz w:val="24"/>
          <w:szCs w:val="24"/>
          <w:lang w:val="sr-Cyrl-RS"/>
        </w:rPr>
      </w:pPr>
      <w:r w:rsidRPr="007C77C0">
        <w:rPr>
          <w:rFonts w:ascii="Times New Roman" w:hAnsi="Times New Roman" w:cs="Times New Roman"/>
          <w:sz w:val="24"/>
          <w:szCs w:val="24"/>
          <w:lang w:val="sr-Cyrl-RS"/>
        </w:rPr>
        <w:t>Високо образовање –</w:t>
      </w:r>
      <w:r w:rsidR="008E1D6D">
        <w:rPr>
          <w:rFonts w:ascii="Times New Roman" w:hAnsi="Times New Roman" w:cs="Times New Roman"/>
          <w:sz w:val="24"/>
          <w:szCs w:val="24"/>
          <w:lang w:val="sr-Cyrl-RS"/>
        </w:rPr>
        <w:t xml:space="preserve"> минимум</w:t>
      </w:r>
      <w:r w:rsidRPr="007C77C0">
        <w:rPr>
          <w:rFonts w:ascii="Times New Roman" w:hAnsi="Times New Roman" w:cs="Times New Roman"/>
          <w:sz w:val="24"/>
          <w:szCs w:val="24"/>
          <w:lang w:val="sr-Cyrl-RS"/>
        </w:rPr>
        <w:t xml:space="preserve"> ниво 7.1 НОКС-а;</w:t>
      </w:r>
    </w:p>
    <w:p w14:paraId="3823885E" w14:textId="410D8F1D" w:rsidR="000070DE" w:rsidRPr="00AE5F33" w:rsidRDefault="007C77C0" w:rsidP="007C77C0">
      <w:pPr>
        <w:numPr>
          <w:ilvl w:val="0"/>
          <w:numId w:val="34"/>
        </w:numPr>
        <w:suppressAutoHyphens/>
        <w:spacing w:before="60" w:after="0" w:line="264" w:lineRule="auto"/>
        <w:ind w:left="714" w:hanging="357"/>
        <w:jc w:val="both"/>
        <w:textDirection w:val="btLr"/>
        <w:textAlignment w:val="top"/>
        <w:outlineLvl w:val="0"/>
        <w:rPr>
          <w:rFonts w:ascii="Times New Roman" w:eastAsia="Times New Roman" w:hAnsi="Times New Roman" w:cs="Times New Roman"/>
          <w:position w:val="-1"/>
          <w:sz w:val="28"/>
          <w:szCs w:val="28"/>
          <w:lang w:val="sr-Cyrl-RS"/>
        </w:rPr>
      </w:pPr>
      <w:r w:rsidRPr="007C77C0">
        <w:rPr>
          <w:rFonts w:ascii="Times New Roman" w:hAnsi="Times New Roman" w:cs="Times New Roman"/>
          <w:sz w:val="24"/>
          <w:szCs w:val="24"/>
          <w:lang w:val="sr-Cyrl-RS"/>
        </w:rPr>
        <w:t xml:space="preserve">Познавање законодавног и институционалног оквира </w:t>
      </w:r>
      <w:r w:rsidR="00BB3ABE">
        <w:rPr>
          <w:rFonts w:ascii="Times New Roman" w:hAnsi="Times New Roman" w:cs="Times New Roman"/>
          <w:sz w:val="24"/>
          <w:szCs w:val="24"/>
          <w:lang w:val="sr-Cyrl-RS"/>
        </w:rPr>
        <w:t>система образовања</w:t>
      </w:r>
      <w:r>
        <w:rPr>
          <w:rFonts w:ascii="Times New Roman" w:hAnsi="Times New Roman" w:cs="Times New Roman"/>
          <w:sz w:val="24"/>
          <w:szCs w:val="24"/>
          <w:lang w:val="sr-Cyrl-RS"/>
        </w:rPr>
        <w:t>;</w:t>
      </w:r>
    </w:p>
    <w:p w14:paraId="3DCA826F" w14:textId="01E74FDC" w:rsidR="00AE5F33" w:rsidRPr="007C77C0" w:rsidRDefault="00AE5F33" w:rsidP="007C77C0">
      <w:pPr>
        <w:numPr>
          <w:ilvl w:val="0"/>
          <w:numId w:val="34"/>
        </w:numPr>
        <w:suppressAutoHyphens/>
        <w:spacing w:before="60" w:after="0" w:line="264" w:lineRule="auto"/>
        <w:ind w:left="714" w:hanging="357"/>
        <w:jc w:val="both"/>
        <w:textDirection w:val="btLr"/>
        <w:textAlignment w:val="top"/>
        <w:outlineLvl w:val="0"/>
        <w:rPr>
          <w:rFonts w:ascii="Times New Roman" w:eastAsia="Times New Roman" w:hAnsi="Times New Roman" w:cs="Times New Roman"/>
          <w:position w:val="-1"/>
          <w:sz w:val="28"/>
          <w:szCs w:val="28"/>
          <w:lang w:val="sr-Cyrl-RS"/>
        </w:rPr>
      </w:pPr>
      <w:r>
        <w:rPr>
          <w:rFonts w:ascii="Times New Roman" w:hAnsi="Times New Roman" w:cs="Times New Roman"/>
          <w:sz w:val="24"/>
          <w:szCs w:val="24"/>
          <w:lang w:val="sr-Cyrl-RS"/>
        </w:rPr>
        <w:t>Познавање трендова у образовању и образовних политика;</w:t>
      </w:r>
    </w:p>
    <w:p w14:paraId="46335451" w14:textId="1B0CF79E"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Професионално искуство:</w:t>
      </w:r>
    </w:p>
    <w:p w14:paraId="3A367CEB" w14:textId="650906D0" w:rsidR="000070DE" w:rsidRPr="003F4B62" w:rsidRDefault="003F4B62" w:rsidP="00C5376D">
      <w:pPr>
        <w:numPr>
          <w:ilvl w:val="0"/>
          <w:numId w:val="35"/>
        </w:numPr>
        <w:suppressAutoHyphens/>
        <w:spacing w:before="60" w:after="24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3F4B62">
        <w:rPr>
          <w:rFonts w:ascii="Times New Roman" w:hAnsi="Times New Roman" w:cs="Times New Roman"/>
          <w:sz w:val="24"/>
          <w:szCs w:val="24"/>
          <w:lang w:val="sr-Cyrl-RS"/>
        </w:rPr>
        <w:t>Најмање десет (10) година професионалног искуства у области образовања, укључујући искуство у развоју, евалуацији или имплементацији квалификација, програма и/или образовних стандарда</w:t>
      </w:r>
      <w:r w:rsidR="007C77C0" w:rsidRPr="003F4B62">
        <w:rPr>
          <w:rFonts w:ascii="Times New Roman" w:hAnsi="Times New Roman" w:cs="Times New Roman"/>
          <w:sz w:val="24"/>
          <w:szCs w:val="24"/>
          <w:lang w:val="sr-Cyrl-RS"/>
        </w:rPr>
        <w:t>;</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2DF17905" w14:textId="77777777" w:rsidR="00D05061" w:rsidRPr="00D05061" w:rsidRDefault="00D05061" w:rsidP="00D05061">
      <w:pPr>
        <w:numPr>
          <w:ilvl w:val="0"/>
          <w:numId w:val="36"/>
        </w:numPr>
        <w:spacing w:before="60" w:after="0" w:line="240" w:lineRule="auto"/>
        <w:jc w:val="both"/>
        <w:rPr>
          <w:rFonts w:ascii="Times New Roman" w:hAnsi="Times New Roman" w:cs="Times New Roman"/>
          <w:sz w:val="24"/>
          <w:szCs w:val="24"/>
          <w:lang w:val="sr-Cyrl-RS"/>
        </w:rPr>
      </w:pPr>
      <w:r w:rsidRPr="00D05061">
        <w:rPr>
          <w:rFonts w:ascii="Times New Roman" w:hAnsi="Times New Roman" w:cs="Times New Roman"/>
          <w:sz w:val="24"/>
          <w:szCs w:val="24"/>
          <w:lang w:val="sr-Cyrl-RS"/>
        </w:rPr>
        <w:t>Искуство у обради и интерпретацији квантитативних и квалитативних података у образовању, укључујући примену компаративне анализе</w:t>
      </w:r>
    </w:p>
    <w:p w14:paraId="23BC9314" w14:textId="77777777" w:rsidR="00D05061" w:rsidRPr="00D05061" w:rsidRDefault="00D05061" w:rsidP="00D05061">
      <w:pPr>
        <w:numPr>
          <w:ilvl w:val="0"/>
          <w:numId w:val="36"/>
        </w:numPr>
        <w:spacing w:before="60" w:after="0" w:line="240" w:lineRule="auto"/>
        <w:jc w:val="both"/>
        <w:rPr>
          <w:rFonts w:ascii="Times New Roman" w:hAnsi="Times New Roman" w:cs="Times New Roman"/>
          <w:sz w:val="24"/>
          <w:szCs w:val="24"/>
          <w:lang w:val="sr-Cyrl-RS"/>
        </w:rPr>
      </w:pPr>
      <w:r w:rsidRPr="00D05061">
        <w:rPr>
          <w:rFonts w:ascii="Times New Roman" w:hAnsi="Times New Roman" w:cs="Times New Roman"/>
          <w:sz w:val="24"/>
          <w:szCs w:val="24"/>
          <w:lang w:val="sr-Cyrl-RS"/>
        </w:rPr>
        <w:t>Искуство у развоју стандарда квалификација у високом образовању сматраће се за предност</w:t>
      </w:r>
    </w:p>
    <w:p w14:paraId="14632D13" w14:textId="77777777" w:rsidR="00D05061" w:rsidRPr="00D05061" w:rsidRDefault="00D05061" w:rsidP="00D05061">
      <w:pPr>
        <w:numPr>
          <w:ilvl w:val="0"/>
          <w:numId w:val="36"/>
        </w:numPr>
        <w:spacing w:before="60" w:after="0" w:line="240" w:lineRule="auto"/>
        <w:jc w:val="both"/>
        <w:rPr>
          <w:rFonts w:ascii="Times New Roman" w:hAnsi="Times New Roman" w:cs="Times New Roman"/>
          <w:sz w:val="24"/>
          <w:szCs w:val="24"/>
          <w:lang w:val="sr-Cyrl-RS"/>
        </w:rPr>
      </w:pPr>
      <w:r w:rsidRPr="00D05061">
        <w:rPr>
          <w:rFonts w:ascii="Times New Roman" w:hAnsi="Times New Roman" w:cs="Times New Roman"/>
          <w:sz w:val="24"/>
          <w:szCs w:val="24"/>
          <w:lang w:val="sr-Cyrl-RS"/>
        </w:rPr>
        <w:lastRenderedPageBreak/>
        <w:t>Искуство у раду са представницима различитих заинтересованих страна у области образовања и тржишта рада (образовне установе, министарства, социјални партнери и други)</w:t>
      </w:r>
    </w:p>
    <w:p w14:paraId="3AB34306" w14:textId="3BC4FE54" w:rsidR="0046650F" w:rsidRPr="00D05061" w:rsidRDefault="00D05061" w:rsidP="00D05061">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4"/>
          <w:szCs w:val="24"/>
          <w:lang w:val="sr-Cyrl-RS"/>
        </w:rPr>
      </w:pPr>
      <w:r w:rsidRPr="00D05061">
        <w:rPr>
          <w:rFonts w:ascii="Times New Roman" w:hAnsi="Times New Roman" w:cs="Times New Roman"/>
          <w:sz w:val="24"/>
          <w:szCs w:val="24"/>
          <w:lang w:val="sr-Cyrl-RS"/>
        </w:rPr>
        <w:t>Учешће у пројектима релевантним за пројектни задатак сматраће се за предност</w:t>
      </w:r>
      <w:r w:rsidR="003F3B67" w:rsidRPr="00D05061">
        <w:rPr>
          <w:rFonts w:ascii="Times New Roman" w:eastAsia="Times New Roman" w:hAnsi="Times New Roman" w:cs="Times New Roman"/>
          <w:position w:val="-1"/>
          <w:sz w:val="24"/>
          <w:szCs w:val="24"/>
          <w:lang w:val="sr-Cyrl-RS"/>
        </w:rPr>
        <w:t>.</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07B6D1F5"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w:t>
      </w:r>
      <w:r w:rsidRPr="009437EF">
        <w:rPr>
          <w:rFonts w:ascii="Times New Roman" w:hAnsi="Times New Roman" w:cs="Times New Roman"/>
          <w:sz w:val="24"/>
          <w:szCs w:val="24"/>
          <w:lang w:val="sr-Cyrl-RS"/>
        </w:rPr>
        <w:t xml:space="preserve">периоду </w:t>
      </w:r>
      <w:r w:rsidR="00576A21" w:rsidRPr="009437EF">
        <w:rPr>
          <w:rFonts w:ascii="Times New Roman" w:hAnsi="Times New Roman" w:cs="Times New Roman"/>
          <w:sz w:val="24"/>
          <w:szCs w:val="24"/>
          <w:lang w:val="sr-Cyrl-RS"/>
        </w:rPr>
        <w:t xml:space="preserve">од </w:t>
      </w:r>
      <w:r w:rsidR="00F1588D">
        <w:rPr>
          <w:rFonts w:ascii="Times New Roman" w:hAnsi="Times New Roman" w:cs="Times New Roman"/>
          <w:sz w:val="24"/>
          <w:szCs w:val="24"/>
          <w:lang w:val="sr-Latn-RS"/>
        </w:rPr>
        <w:t>16</w:t>
      </w:r>
      <w:r w:rsidR="00052F44" w:rsidRPr="009437EF">
        <w:rPr>
          <w:rFonts w:ascii="Times New Roman" w:hAnsi="Times New Roman" w:cs="Times New Roman"/>
          <w:sz w:val="24"/>
          <w:szCs w:val="24"/>
          <w:lang w:val="sr-Cyrl-RS"/>
        </w:rPr>
        <w:t xml:space="preserve">. </w:t>
      </w:r>
      <w:r w:rsidR="00894634" w:rsidRPr="009437EF">
        <w:rPr>
          <w:rFonts w:ascii="Times New Roman" w:hAnsi="Times New Roman" w:cs="Times New Roman"/>
          <w:sz w:val="24"/>
          <w:szCs w:val="24"/>
          <w:lang w:val="sr-Cyrl-RS"/>
        </w:rPr>
        <w:t>јуна</w:t>
      </w:r>
      <w:r w:rsidR="00576A21" w:rsidRPr="009437EF">
        <w:rPr>
          <w:rFonts w:ascii="Times New Roman" w:hAnsi="Times New Roman" w:cs="Times New Roman"/>
          <w:sz w:val="24"/>
          <w:szCs w:val="24"/>
          <w:lang w:val="sr-Cyrl-RS"/>
        </w:rPr>
        <w:t xml:space="preserve"> до 3</w:t>
      </w:r>
      <w:r w:rsidR="00052F44" w:rsidRPr="009437EF">
        <w:rPr>
          <w:rFonts w:ascii="Times New Roman" w:hAnsi="Times New Roman" w:cs="Times New Roman"/>
          <w:sz w:val="24"/>
          <w:szCs w:val="24"/>
          <w:lang w:val="sr-Cyrl-RS"/>
        </w:rPr>
        <w:t>1</w:t>
      </w:r>
      <w:r w:rsidR="00576A21" w:rsidRPr="009437EF">
        <w:rPr>
          <w:rFonts w:ascii="Times New Roman" w:hAnsi="Times New Roman" w:cs="Times New Roman"/>
          <w:sz w:val="24"/>
          <w:szCs w:val="24"/>
          <w:lang w:val="sr-Cyrl-RS"/>
        </w:rPr>
        <w:t xml:space="preserve">. </w:t>
      </w:r>
      <w:r w:rsidR="00052F44" w:rsidRPr="009437EF">
        <w:rPr>
          <w:rFonts w:ascii="Times New Roman" w:hAnsi="Times New Roman" w:cs="Times New Roman"/>
          <w:sz w:val="24"/>
          <w:szCs w:val="24"/>
          <w:lang w:val="sr-Cyrl-RS"/>
        </w:rPr>
        <w:t>децембра</w:t>
      </w:r>
      <w:r w:rsidRPr="009437EF">
        <w:rPr>
          <w:rFonts w:ascii="Times New Roman" w:hAnsi="Times New Roman" w:cs="Times New Roman"/>
          <w:sz w:val="24"/>
          <w:szCs w:val="24"/>
          <w:lang w:val="sr-Cyrl-RS"/>
        </w:rPr>
        <w:t xml:space="preserve"> 202</w:t>
      </w:r>
      <w:r w:rsidR="00894634" w:rsidRPr="009437EF">
        <w:rPr>
          <w:rFonts w:ascii="Times New Roman" w:hAnsi="Times New Roman" w:cs="Times New Roman"/>
          <w:sz w:val="24"/>
          <w:szCs w:val="24"/>
          <w:lang w:val="sr-Cyrl-RS"/>
        </w:rPr>
        <w:t>5</w:t>
      </w:r>
      <w:r w:rsidRPr="009437EF">
        <w:rPr>
          <w:rFonts w:ascii="Times New Roman" w:hAnsi="Times New Roman" w:cs="Times New Roman"/>
          <w:sz w:val="24"/>
          <w:szCs w:val="24"/>
          <w:lang w:val="sr-Cyrl-RS"/>
        </w:rPr>
        <w:t>. године</w:t>
      </w:r>
      <w:r w:rsidR="00C95642" w:rsidRPr="009437EF">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54015D7D"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F1588D">
        <w:rPr>
          <w:rFonts w:ascii="Times New Roman" w:hAnsi="Times New Roman" w:cs="Times New Roman"/>
          <w:b/>
          <w:bCs/>
          <w:sz w:val="24"/>
          <w:szCs w:val="24"/>
          <w:lang w:val="sr-Latn-RS"/>
        </w:rPr>
        <w:t>0</w:t>
      </w:r>
      <w:r w:rsidR="00A47593">
        <w:rPr>
          <w:rFonts w:ascii="Times New Roman" w:hAnsi="Times New Roman" w:cs="Times New Roman"/>
          <w:b/>
          <w:bCs/>
          <w:sz w:val="24"/>
          <w:szCs w:val="24"/>
          <w:lang w:val="sr-Latn-RS"/>
        </w:rPr>
        <w:t>9</w:t>
      </w:r>
      <w:r w:rsidRPr="009437EF">
        <w:rPr>
          <w:rFonts w:ascii="Times New Roman" w:hAnsi="Times New Roman" w:cs="Times New Roman"/>
          <w:b/>
          <w:bCs/>
          <w:sz w:val="24"/>
          <w:szCs w:val="24"/>
          <w:lang w:val="sr-Cyrl-RS"/>
        </w:rPr>
        <w:t>.0</w:t>
      </w:r>
      <w:r w:rsidR="00F1588D">
        <w:rPr>
          <w:rFonts w:ascii="Times New Roman" w:hAnsi="Times New Roman" w:cs="Times New Roman"/>
          <w:b/>
          <w:bCs/>
          <w:sz w:val="24"/>
          <w:szCs w:val="24"/>
          <w:lang w:val="sr-Latn-RS"/>
        </w:rPr>
        <w:t>6</w:t>
      </w:r>
      <w:r w:rsidRPr="009437EF">
        <w:rPr>
          <w:rFonts w:ascii="Times New Roman" w:hAnsi="Times New Roman" w:cs="Times New Roman"/>
          <w:b/>
          <w:bCs/>
          <w:sz w:val="24"/>
          <w:szCs w:val="24"/>
          <w:lang w:val="sr-Cyrl-RS"/>
        </w:rPr>
        <w:t>.202</w:t>
      </w:r>
      <w:r w:rsidR="00DD4A58">
        <w:rPr>
          <w:rFonts w:ascii="Times New Roman" w:hAnsi="Times New Roman" w:cs="Times New Roman"/>
          <w:b/>
          <w:bCs/>
          <w:sz w:val="24"/>
          <w:szCs w:val="24"/>
        </w:rPr>
        <w:t>5</w:t>
      </w:r>
      <w:r w:rsidRPr="009437EF">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070DE">
        <w:rPr>
          <w:rFonts w:ascii="Times New Roman" w:hAnsi="Times New Roman" w:cs="Times New Roman"/>
          <w:sz w:val="24"/>
          <w:szCs w:val="24"/>
          <w:lang w:val="sr-Cyrl-RS"/>
        </w:rPr>
        <w:t xml:space="preserve">консултанта за </w:t>
      </w:r>
      <w:r w:rsidR="007C77C0">
        <w:rPr>
          <w:rFonts w:ascii="Times New Roman" w:hAnsi="Times New Roman" w:cs="Times New Roman"/>
          <w:sz w:val="24"/>
          <w:szCs w:val="24"/>
          <w:lang w:val="sr-Cyrl-RS"/>
        </w:rPr>
        <w:t xml:space="preserve">припрему </w:t>
      </w:r>
      <w:r w:rsidR="00A7475E">
        <w:rPr>
          <w:rFonts w:ascii="Times New Roman" w:hAnsi="Times New Roman" w:cs="Times New Roman"/>
          <w:sz w:val="24"/>
          <w:szCs w:val="24"/>
          <w:lang w:val="sr-Cyrl-RS"/>
        </w:rPr>
        <w:t xml:space="preserve">компаративне </w:t>
      </w:r>
      <w:r w:rsidR="007C77C0">
        <w:rPr>
          <w:rFonts w:ascii="Times New Roman" w:hAnsi="Times New Roman" w:cs="Times New Roman"/>
          <w:sz w:val="24"/>
          <w:szCs w:val="24"/>
          <w:lang w:val="sr-Cyrl-RS"/>
        </w:rPr>
        <w:t xml:space="preserve">анализе </w:t>
      </w:r>
      <w:r w:rsidR="00D95858">
        <w:rPr>
          <w:rFonts w:ascii="Times New Roman" w:hAnsi="Times New Roman" w:cs="Times New Roman"/>
          <w:sz w:val="24"/>
          <w:szCs w:val="24"/>
          <w:lang w:val="sr-Cyrl-RS"/>
        </w:rPr>
        <w:t>о квалификацијама</w:t>
      </w:r>
      <w:r w:rsidR="007C77C0">
        <w:rPr>
          <w:rFonts w:ascii="Times New Roman" w:hAnsi="Times New Roman" w:cs="Times New Roman"/>
          <w:sz w:val="24"/>
          <w:szCs w:val="24"/>
          <w:lang w:val="sr-Cyrl-RS"/>
        </w:rPr>
        <w:t xml:space="preserve"> на нивоу 5 НОКС-а</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21B9FF90" w:rsidR="008670AD" w:rsidRPr="008670AD" w:rsidRDefault="005715CA"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E7409D">
        <w:rPr>
          <w:rFonts w:ascii="Times New Roman" w:hAnsi="Times New Roman"/>
          <w:bCs/>
          <w:iCs/>
          <w:sz w:val="24"/>
          <w:szCs w:val="24"/>
          <w:lang w:val="sr-Cyrl-RS" w:bidi="ne-NP"/>
        </w:rPr>
        <w:t>Припрема</w:t>
      </w:r>
      <w:r w:rsidR="00F1588D">
        <w:rPr>
          <w:rFonts w:ascii="Times New Roman" w:hAnsi="Times New Roman"/>
          <w:bCs/>
          <w:iCs/>
          <w:sz w:val="24"/>
          <w:szCs w:val="24"/>
          <w:lang w:val="sr-Latn-RS" w:bidi="ne-NP"/>
        </w:rPr>
        <w:t xml:space="preserve"> </w:t>
      </w:r>
      <w:r w:rsidR="00F1588D">
        <w:rPr>
          <w:rFonts w:ascii="Times New Roman" w:hAnsi="Times New Roman"/>
          <w:bCs/>
          <w:iCs/>
          <w:sz w:val="24"/>
          <w:szCs w:val="24"/>
          <w:lang w:val="sr-Cyrl-RS" w:bidi="ne-NP"/>
        </w:rPr>
        <w:t>компаративне</w:t>
      </w:r>
      <w:r w:rsidR="00E7409D">
        <w:rPr>
          <w:rFonts w:ascii="Times New Roman" w:hAnsi="Times New Roman"/>
          <w:bCs/>
          <w:iCs/>
          <w:sz w:val="24"/>
          <w:szCs w:val="24"/>
          <w:lang w:val="sr-Cyrl-RS" w:bidi="ne-NP"/>
        </w:rPr>
        <w:t xml:space="preserve"> анализе </w:t>
      </w:r>
      <w:r w:rsidR="00E40FA2">
        <w:rPr>
          <w:rFonts w:ascii="Times New Roman" w:hAnsi="Times New Roman" w:cs="Times New Roman"/>
          <w:sz w:val="24"/>
          <w:szCs w:val="24"/>
          <w:lang w:val="sr-Cyrl-RS"/>
        </w:rPr>
        <w:t>о квалификацијама</w:t>
      </w:r>
      <w:r w:rsidR="00E7409D">
        <w:rPr>
          <w:rFonts w:ascii="Times New Roman" w:hAnsi="Times New Roman" w:cs="Times New Roman"/>
          <w:sz w:val="24"/>
          <w:szCs w:val="24"/>
          <w:lang w:val="sr-Cyrl-RS"/>
        </w:rPr>
        <w:t xml:space="preserve"> на нивоу 5 НОКС-а</w:t>
      </w:r>
      <w:r w:rsidR="00E7409D">
        <w:rPr>
          <w:rFonts w:ascii="Times New Roman" w:hAnsi="Times New Roman"/>
          <w:bCs/>
          <w:iCs/>
          <w:sz w:val="24"/>
          <w:szCs w:val="24"/>
          <w:lang w:val="sr-Cyrl-RS" w:bidi="ne-NP"/>
        </w:rPr>
        <w:t xml:space="preserve"> </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487386AD" w:rsidR="006036CF" w:rsidRPr="00AF6333" w:rsidRDefault="006036CF" w:rsidP="00C206E7">
            <w:pPr>
              <w:suppressAutoHyphens/>
              <w:spacing w:after="0" w:line="240" w:lineRule="auto"/>
              <w:rPr>
                <w:rFonts w:ascii="Times New Roman" w:eastAsia="Times New Roman" w:hAnsi="Times New Roman"/>
                <w:sz w:val="24"/>
                <w:szCs w:val="24"/>
                <w:lang w:val="sr-Cyrl-RS" w:bidi="ne-NP"/>
              </w:rPr>
            </w:pPr>
          </w:p>
        </w:tc>
        <w:tc>
          <w:tcPr>
            <w:tcW w:w="2831" w:type="dxa"/>
            <w:shd w:val="clear" w:color="auto" w:fill="auto"/>
          </w:tcPr>
          <w:p w14:paraId="5F0E9CC4" w14:textId="36ECDCCD" w:rsidR="006036CF" w:rsidRPr="002835DB" w:rsidRDefault="006036CF"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E7409D" w:rsidRPr="00A54BB9" w14:paraId="1949FB34" w14:textId="77777777" w:rsidTr="00C206E7">
        <w:trPr>
          <w:trHeight w:val="389"/>
        </w:trPr>
        <w:tc>
          <w:tcPr>
            <w:tcW w:w="810" w:type="dxa"/>
            <w:shd w:val="clear" w:color="auto" w:fill="auto"/>
          </w:tcPr>
          <w:p w14:paraId="56920819" w14:textId="0AC6EABF" w:rsidR="00E7409D" w:rsidRPr="00E7409D" w:rsidRDefault="00E7409D" w:rsidP="00C206E7">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w:t>
            </w:r>
          </w:p>
        </w:tc>
        <w:tc>
          <w:tcPr>
            <w:tcW w:w="5842" w:type="dxa"/>
            <w:shd w:val="clear" w:color="auto" w:fill="auto"/>
          </w:tcPr>
          <w:p w14:paraId="3B4D7D7A" w14:textId="75B33159" w:rsidR="00E7409D" w:rsidRDefault="00E7409D" w:rsidP="00C206E7">
            <w:pPr>
              <w:suppressAutoHyphens/>
              <w:spacing w:after="0" w:line="240" w:lineRule="auto"/>
              <w:rPr>
                <w:rFonts w:ascii="Times New Roman" w:eastAsia="Times New Roman" w:hAnsi="Times New Roman"/>
                <w:sz w:val="24"/>
                <w:szCs w:val="24"/>
                <w:lang w:val="sr-Cyrl-RS" w:bidi="ne-NP"/>
              </w:rPr>
            </w:pPr>
          </w:p>
        </w:tc>
        <w:tc>
          <w:tcPr>
            <w:tcW w:w="2831" w:type="dxa"/>
            <w:shd w:val="clear" w:color="auto" w:fill="auto"/>
          </w:tcPr>
          <w:p w14:paraId="26D3755B" w14:textId="584CB408" w:rsidR="00E7409D" w:rsidRDefault="00E7409D"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6036CF" w:rsidRPr="00A54BB9" w14:paraId="0D465DEF" w14:textId="77777777" w:rsidTr="00C206E7">
        <w:trPr>
          <w:trHeight w:val="466"/>
        </w:trPr>
        <w:tc>
          <w:tcPr>
            <w:tcW w:w="810" w:type="dxa"/>
            <w:shd w:val="clear" w:color="auto" w:fill="auto"/>
          </w:tcPr>
          <w:p w14:paraId="1267D028" w14:textId="77777777" w:rsidR="006036CF" w:rsidRPr="00A54BB9" w:rsidRDefault="006036CF" w:rsidP="00C206E7">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6036CF" w:rsidRPr="00AF6333" w:rsidRDefault="006036CF" w:rsidP="00C206E7">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6036CF" w:rsidRPr="00AF6333" w:rsidRDefault="006036CF" w:rsidP="003C128E">
            <w:pPr>
              <w:spacing w:line="240" w:lineRule="auto"/>
              <w:ind w:right="5"/>
              <w:jc w:val="right"/>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6184" w14:textId="77777777" w:rsidR="008610BF" w:rsidRDefault="008610BF" w:rsidP="002526BE">
      <w:pPr>
        <w:spacing w:after="0" w:line="240" w:lineRule="auto"/>
      </w:pPr>
      <w:r>
        <w:separator/>
      </w:r>
    </w:p>
  </w:endnote>
  <w:endnote w:type="continuationSeparator" w:id="0">
    <w:p w14:paraId="60B3BC12" w14:textId="77777777" w:rsidR="008610BF" w:rsidRDefault="008610BF"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C4AB" w14:textId="77777777" w:rsidR="008610BF" w:rsidRDefault="008610BF" w:rsidP="002526BE">
      <w:pPr>
        <w:spacing w:after="0" w:line="240" w:lineRule="auto"/>
      </w:pPr>
      <w:r>
        <w:separator/>
      </w:r>
    </w:p>
  </w:footnote>
  <w:footnote w:type="continuationSeparator" w:id="0">
    <w:p w14:paraId="19C6FAFF" w14:textId="77777777" w:rsidR="008610BF" w:rsidRDefault="008610BF"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3"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6"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4"/>
  </w:num>
  <w:num w:numId="2" w16cid:durableId="1459372576">
    <w:abstractNumId w:val="3"/>
  </w:num>
  <w:num w:numId="3" w16cid:durableId="724522996">
    <w:abstractNumId w:val="11"/>
  </w:num>
  <w:num w:numId="4" w16cid:durableId="1605381354">
    <w:abstractNumId w:val="36"/>
  </w:num>
  <w:num w:numId="5" w16cid:durableId="400324921">
    <w:abstractNumId w:val="31"/>
  </w:num>
  <w:num w:numId="6" w16cid:durableId="302321778">
    <w:abstractNumId w:val="21"/>
  </w:num>
  <w:num w:numId="7" w16cid:durableId="1105615518">
    <w:abstractNumId w:val="20"/>
  </w:num>
  <w:num w:numId="8" w16cid:durableId="2130124559">
    <w:abstractNumId w:val="5"/>
  </w:num>
  <w:num w:numId="9" w16cid:durableId="1616253493">
    <w:abstractNumId w:val="28"/>
  </w:num>
  <w:num w:numId="10" w16cid:durableId="361904795">
    <w:abstractNumId w:val="8"/>
  </w:num>
  <w:num w:numId="11" w16cid:durableId="1033337089">
    <w:abstractNumId w:val="37"/>
  </w:num>
  <w:num w:numId="12" w16cid:durableId="682588355">
    <w:abstractNumId w:val="24"/>
  </w:num>
  <w:num w:numId="13" w16cid:durableId="291641782">
    <w:abstractNumId w:val="19"/>
  </w:num>
  <w:num w:numId="14" w16cid:durableId="578295863">
    <w:abstractNumId w:val="9"/>
  </w:num>
  <w:num w:numId="15" w16cid:durableId="1967806508">
    <w:abstractNumId w:val="23"/>
  </w:num>
  <w:num w:numId="16" w16cid:durableId="1285892892">
    <w:abstractNumId w:val="22"/>
  </w:num>
  <w:num w:numId="17" w16cid:durableId="39716861">
    <w:abstractNumId w:val="25"/>
  </w:num>
  <w:num w:numId="18" w16cid:durableId="726730535">
    <w:abstractNumId w:val="29"/>
  </w:num>
  <w:num w:numId="19" w16cid:durableId="959654866">
    <w:abstractNumId w:val="10"/>
  </w:num>
  <w:num w:numId="20" w16cid:durableId="982736543">
    <w:abstractNumId w:val="27"/>
  </w:num>
  <w:num w:numId="21" w16cid:durableId="1158184760">
    <w:abstractNumId w:val="16"/>
  </w:num>
  <w:num w:numId="22" w16cid:durableId="557672162">
    <w:abstractNumId w:val="12"/>
  </w:num>
  <w:num w:numId="23" w16cid:durableId="962268605">
    <w:abstractNumId w:val="33"/>
  </w:num>
  <w:num w:numId="24" w16cid:durableId="1335960961">
    <w:abstractNumId w:val="26"/>
  </w:num>
  <w:num w:numId="25" w16cid:durableId="1829666586">
    <w:abstractNumId w:val="18"/>
  </w:num>
  <w:num w:numId="26" w16cid:durableId="738789391">
    <w:abstractNumId w:val="1"/>
  </w:num>
  <w:num w:numId="27" w16cid:durableId="801463318">
    <w:abstractNumId w:val="0"/>
  </w:num>
  <w:num w:numId="28" w16cid:durableId="104620279">
    <w:abstractNumId w:val="32"/>
  </w:num>
  <w:num w:numId="29" w16cid:durableId="1799492462">
    <w:abstractNumId w:val="6"/>
  </w:num>
  <w:num w:numId="30" w16cid:durableId="534470068">
    <w:abstractNumId w:val="2"/>
  </w:num>
  <w:num w:numId="31" w16cid:durableId="1142501152">
    <w:abstractNumId w:val="7"/>
  </w:num>
  <w:num w:numId="32" w16cid:durableId="108009557">
    <w:abstractNumId w:val="35"/>
  </w:num>
  <w:num w:numId="33" w16cid:durableId="394862521">
    <w:abstractNumId w:val="30"/>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81E2C"/>
    <w:rsid w:val="000B1185"/>
    <w:rsid w:val="000B1CE8"/>
    <w:rsid w:val="000C2062"/>
    <w:rsid w:val="000D090B"/>
    <w:rsid w:val="000D3D15"/>
    <w:rsid w:val="000E0A37"/>
    <w:rsid w:val="000E3962"/>
    <w:rsid w:val="000E6820"/>
    <w:rsid w:val="000F7974"/>
    <w:rsid w:val="00100FD7"/>
    <w:rsid w:val="0010570A"/>
    <w:rsid w:val="00106114"/>
    <w:rsid w:val="001379C1"/>
    <w:rsid w:val="00142136"/>
    <w:rsid w:val="00145543"/>
    <w:rsid w:val="00150484"/>
    <w:rsid w:val="00170903"/>
    <w:rsid w:val="001848D8"/>
    <w:rsid w:val="001A1FBC"/>
    <w:rsid w:val="001B1996"/>
    <w:rsid w:val="001C33F1"/>
    <w:rsid w:val="001C72FD"/>
    <w:rsid w:val="001D2A69"/>
    <w:rsid w:val="001E01C9"/>
    <w:rsid w:val="001E1E2B"/>
    <w:rsid w:val="001E3C7E"/>
    <w:rsid w:val="001E4AC8"/>
    <w:rsid w:val="00203701"/>
    <w:rsid w:val="00204515"/>
    <w:rsid w:val="00211639"/>
    <w:rsid w:val="00212BD3"/>
    <w:rsid w:val="00213AB0"/>
    <w:rsid w:val="00225E20"/>
    <w:rsid w:val="00236879"/>
    <w:rsid w:val="00247973"/>
    <w:rsid w:val="002526BE"/>
    <w:rsid w:val="002531E4"/>
    <w:rsid w:val="0026207B"/>
    <w:rsid w:val="00270FD5"/>
    <w:rsid w:val="0028416B"/>
    <w:rsid w:val="002878E2"/>
    <w:rsid w:val="002A699D"/>
    <w:rsid w:val="002B6699"/>
    <w:rsid w:val="002B69F3"/>
    <w:rsid w:val="002B6CE8"/>
    <w:rsid w:val="002C3887"/>
    <w:rsid w:val="002D4465"/>
    <w:rsid w:val="002D7744"/>
    <w:rsid w:val="002E132E"/>
    <w:rsid w:val="002E6082"/>
    <w:rsid w:val="002F0170"/>
    <w:rsid w:val="002F1A5F"/>
    <w:rsid w:val="002F27C4"/>
    <w:rsid w:val="002F28DF"/>
    <w:rsid w:val="00325890"/>
    <w:rsid w:val="00333FA6"/>
    <w:rsid w:val="00335112"/>
    <w:rsid w:val="003418EA"/>
    <w:rsid w:val="00344DD5"/>
    <w:rsid w:val="0035124E"/>
    <w:rsid w:val="003542DA"/>
    <w:rsid w:val="0037324D"/>
    <w:rsid w:val="00376F97"/>
    <w:rsid w:val="00392F7C"/>
    <w:rsid w:val="00393AE4"/>
    <w:rsid w:val="00394E64"/>
    <w:rsid w:val="003974AC"/>
    <w:rsid w:val="003A3342"/>
    <w:rsid w:val="003A3BAB"/>
    <w:rsid w:val="003A701D"/>
    <w:rsid w:val="003B7D9D"/>
    <w:rsid w:val="003C128E"/>
    <w:rsid w:val="003C3EF5"/>
    <w:rsid w:val="003D6F31"/>
    <w:rsid w:val="003E1227"/>
    <w:rsid w:val="003E719D"/>
    <w:rsid w:val="003F07EF"/>
    <w:rsid w:val="003F1323"/>
    <w:rsid w:val="003F3B67"/>
    <w:rsid w:val="003F4B62"/>
    <w:rsid w:val="003F5B23"/>
    <w:rsid w:val="00401354"/>
    <w:rsid w:val="00405638"/>
    <w:rsid w:val="00405A7A"/>
    <w:rsid w:val="00414141"/>
    <w:rsid w:val="00420650"/>
    <w:rsid w:val="0042589B"/>
    <w:rsid w:val="004261D1"/>
    <w:rsid w:val="00427489"/>
    <w:rsid w:val="0042788F"/>
    <w:rsid w:val="004348F1"/>
    <w:rsid w:val="00435BFF"/>
    <w:rsid w:val="00444AA2"/>
    <w:rsid w:val="004453FF"/>
    <w:rsid w:val="004508E5"/>
    <w:rsid w:val="00457B2E"/>
    <w:rsid w:val="00460A08"/>
    <w:rsid w:val="004621B2"/>
    <w:rsid w:val="00463DC4"/>
    <w:rsid w:val="0046650F"/>
    <w:rsid w:val="0047746D"/>
    <w:rsid w:val="004847E0"/>
    <w:rsid w:val="004913C0"/>
    <w:rsid w:val="0049656B"/>
    <w:rsid w:val="004A39C2"/>
    <w:rsid w:val="004A3FD7"/>
    <w:rsid w:val="004A649C"/>
    <w:rsid w:val="004B5465"/>
    <w:rsid w:val="004E3544"/>
    <w:rsid w:val="00501176"/>
    <w:rsid w:val="0050392E"/>
    <w:rsid w:val="00513198"/>
    <w:rsid w:val="0051368F"/>
    <w:rsid w:val="00515ACE"/>
    <w:rsid w:val="00522D2F"/>
    <w:rsid w:val="0052583B"/>
    <w:rsid w:val="00537E06"/>
    <w:rsid w:val="005428E9"/>
    <w:rsid w:val="00546D9D"/>
    <w:rsid w:val="005511CB"/>
    <w:rsid w:val="00551687"/>
    <w:rsid w:val="005579CC"/>
    <w:rsid w:val="00567ABA"/>
    <w:rsid w:val="005715CA"/>
    <w:rsid w:val="00574B51"/>
    <w:rsid w:val="00575B1D"/>
    <w:rsid w:val="00576A21"/>
    <w:rsid w:val="0059297A"/>
    <w:rsid w:val="00592C1E"/>
    <w:rsid w:val="00597837"/>
    <w:rsid w:val="005C10C8"/>
    <w:rsid w:val="005E1491"/>
    <w:rsid w:val="005F692D"/>
    <w:rsid w:val="006036CF"/>
    <w:rsid w:val="00606E74"/>
    <w:rsid w:val="00614710"/>
    <w:rsid w:val="00626D6C"/>
    <w:rsid w:val="00634C1E"/>
    <w:rsid w:val="00657004"/>
    <w:rsid w:val="006570C6"/>
    <w:rsid w:val="006605F1"/>
    <w:rsid w:val="00662601"/>
    <w:rsid w:val="00673E59"/>
    <w:rsid w:val="00694F53"/>
    <w:rsid w:val="006A7776"/>
    <w:rsid w:val="006B1A84"/>
    <w:rsid w:val="006B381E"/>
    <w:rsid w:val="006B74B9"/>
    <w:rsid w:val="006C2708"/>
    <w:rsid w:val="006C31DA"/>
    <w:rsid w:val="006C5A48"/>
    <w:rsid w:val="006D160B"/>
    <w:rsid w:val="006D60C1"/>
    <w:rsid w:val="006D7FE0"/>
    <w:rsid w:val="006E1799"/>
    <w:rsid w:val="006F01E1"/>
    <w:rsid w:val="006F1697"/>
    <w:rsid w:val="00711D5D"/>
    <w:rsid w:val="00714CF5"/>
    <w:rsid w:val="00723CF4"/>
    <w:rsid w:val="00734B51"/>
    <w:rsid w:val="007356A8"/>
    <w:rsid w:val="0074043D"/>
    <w:rsid w:val="00742282"/>
    <w:rsid w:val="00747647"/>
    <w:rsid w:val="00757BF8"/>
    <w:rsid w:val="00763BB8"/>
    <w:rsid w:val="00777284"/>
    <w:rsid w:val="0078213E"/>
    <w:rsid w:val="00786D02"/>
    <w:rsid w:val="0078732E"/>
    <w:rsid w:val="007A3398"/>
    <w:rsid w:val="007A39CD"/>
    <w:rsid w:val="007B0E65"/>
    <w:rsid w:val="007B2430"/>
    <w:rsid w:val="007B35E4"/>
    <w:rsid w:val="007C1765"/>
    <w:rsid w:val="007C45B4"/>
    <w:rsid w:val="007C64C3"/>
    <w:rsid w:val="007C77C0"/>
    <w:rsid w:val="007D0846"/>
    <w:rsid w:val="007E5376"/>
    <w:rsid w:val="007F0762"/>
    <w:rsid w:val="007F3FD1"/>
    <w:rsid w:val="00804A75"/>
    <w:rsid w:val="00820F36"/>
    <w:rsid w:val="00831A51"/>
    <w:rsid w:val="00833950"/>
    <w:rsid w:val="00834A80"/>
    <w:rsid w:val="008422F4"/>
    <w:rsid w:val="00846C25"/>
    <w:rsid w:val="0084763B"/>
    <w:rsid w:val="008550CB"/>
    <w:rsid w:val="00860749"/>
    <w:rsid w:val="008610BF"/>
    <w:rsid w:val="008670AD"/>
    <w:rsid w:val="00875183"/>
    <w:rsid w:val="00880CB8"/>
    <w:rsid w:val="0088605D"/>
    <w:rsid w:val="00894634"/>
    <w:rsid w:val="008965CD"/>
    <w:rsid w:val="008A1232"/>
    <w:rsid w:val="008B2668"/>
    <w:rsid w:val="008B6C6E"/>
    <w:rsid w:val="008C0129"/>
    <w:rsid w:val="008C74FA"/>
    <w:rsid w:val="008D1342"/>
    <w:rsid w:val="008D3453"/>
    <w:rsid w:val="008D6A43"/>
    <w:rsid w:val="008E1D6D"/>
    <w:rsid w:val="008E7425"/>
    <w:rsid w:val="008F0435"/>
    <w:rsid w:val="008F5075"/>
    <w:rsid w:val="00910DA9"/>
    <w:rsid w:val="00917D85"/>
    <w:rsid w:val="009235F4"/>
    <w:rsid w:val="00927EDF"/>
    <w:rsid w:val="00931CAB"/>
    <w:rsid w:val="0093217E"/>
    <w:rsid w:val="009347D0"/>
    <w:rsid w:val="00935F6B"/>
    <w:rsid w:val="009437EF"/>
    <w:rsid w:val="00945A38"/>
    <w:rsid w:val="00947078"/>
    <w:rsid w:val="00947F32"/>
    <w:rsid w:val="00951DDA"/>
    <w:rsid w:val="00966E74"/>
    <w:rsid w:val="009704BB"/>
    <w:rsid w:val="00970D01"/>
    <w:rsid w:val="0097382E"/>
    <w:rsid w:val="00974024"/>
    <w:rsid w:val="00981BF1"/>
    <w:rsid w:val="00981ECF"/>
    <w:rsid w:val="00982855"/>
    <w:rsid w:val="0098626E"/>
    <w:rsid w:val="0099299E"/>
    <w:rsid w:val="00994ECA"/>
    <w:rsid w:val="00996FD9"/>
    <w:rsid w:val="009A072F"/>
    <w:rsid w:val="009A24DA"/>
    <w:rsid w:val="009A54E8"/>
    <w:rsid w:val="009B184D"/>
    <w:rsid w:val="009D00F1"/>
    <w:rsid w:val="009D59B1"/>
    <w:rsid w:val="009E0291"/>
    <w:rsid w:val="009F420F"/>
    <w:rsid w:val="009F7E51"/>
    <w:rsid w:val="00A009FF"/>
    <w:rsid w:val="00A0121C"/>
    <w:rsid w:val="00A01AD6"/>
    <w:rsid w:val="00A027D5"/>
    <w:rsid w:val="00A046DD"/>
    <w:rsid w:val="00A046EE"/>
    <w:rsid w:val="00A052BD"/>
    <w:rsid w:val="00A07FE4"/>
    <w:rsid w:val="00A1029D"/>
    <w:rsid w:val="00A1544C"/>
    <w:rsid w:val="00A41F9D"/>
    <w:rsid w:val="00A42A3A"/>
    <w:rsid w:val="00A47593"/>
    <w:rsid w:val="00A53640"/>
    <w:rsid w:val="00A55DEE"/>
    <w:rsid w:val="00A5768D"/>
    <w:rsid w:val="00A70892"/>
    <w:rsid w:val="00A73DB3"/>
    <w:rsid w:val="00A7475E"/>
    <w:rsid w:val="00A76F38"/>
    <w:rsid w:val="00A80F7F"/>
    <w:rsid w:val="00A82EAE"/>
    <w:rsid w:val="00A84BF9"/>
    <w:rsid w:val="00A93171"/>
    <w:rsid w:val="00A938CB"/>
    <w:rsid w:val="00A96C7A"/>
    <w:rsid w:val="00AA0FDC"/>
    <w:rsid w:val="00AB0E52"/>
    <w:rsid w:val="00AC3CF3"/>
    <w:rsid w:val="00AC6223"/>
    <w:rsid w:val="00AD3234"/>
    <w:rsid w:val="00AE0E17"/>
    <w:rsid w:val="00AE5F33"/>
    <w:rsid w:val="00AF75B7"/>
    <w:rsid w:val="00B04E32"/>
    <w:rsid w:val="00B106A1"/>
    <w:rsid w:val="00B11474"/>
    <w:rsid w:val="00B15969"/>
    <w:rsid w:val="00B27640"/>
    <w:rsid w:val="00B3115B"/>
    <w:rsid w:val="00B406DE"/>
    <w:rsid w:val="00B45DE3"/>
    <w:rsid w:val="00B45EE1"/>
    <w:rsid w:val="00B5214B"/>
    <w:rsid w:val="00B540FD"/>
    <w:rsid w:val="00B54D7A"/>
    <w:rsid w:val="00B54E13"/>
    <w:rsid w:val="00B5671A"/>
    <w:rsid w:val="00B662D9"/>
    <w:rsid w:val="00B86CB4"/>
    <w:rsid w:val="00B924DD"/>
    <w:rsid w:val="00B95F91"/>
    <w:rsid w:val="00B96B09"/>
    <w:rsid w:val="00BB0107"/>
    <w:rsid w:val="00BB3ABE"/>
    <w:rsid w:val="00BC08D7"/>
    <w:rsid w:val="00BC2C50"/>
    <w:rsid w:val="00BC3DFE"/>
    <w:rsid w:val="00BD071C"/>
    <w:rsid w:val="00BD4584"/>
    <w:rsid w:val="00BF0537"/>
    <w:rsid w:val="00C07980"/>
    <w:rsid w:val="00C263F6"/>
    <w:rsid w:val="00C336BD"/>
    <w:rsid w:val="00C505F1"/>
    <w:rsid w:val="00C51EC1"/>
    <w:rsid w:val="00C8019D"/>
    <w:rsid w:val="00C808E8"/>
    <w:rsid w:val="00C80D42"/>
    <w:rsid w:val="00C86A10"/>
    <w:rsid w:val="00C90EC0"/>
    <w:rsid w:val="00C92EF4"/>
    <w:rsid w:val="00C95642"/>
    <w:rsid w:val="00C97B97"/>
    <w:rsid w:val="00CA2BDE"/>
    <w:rsid w:val="00CA7E14"/>
    <w:rsid w:val="00CC4071"/>
    <w:rsid w:val="00CC656F"/>
    <w:rsid w:val="00CD1AB2"/>
    <w:rsid w:val="00CD6692"/>
    <w:rsid w:val="00CE1331"/>
    <w:rsid w:val="00CE3C6F"/>
    <w:rsid w:val="00CE65FC"/>
    <w:rsid w:val="00CF1130"/>
    <w:rsid w:val="00CF5189"/>
    <w:rsid w:val="00D0493D"/>
    <w:rsid w:val="00D05061"/>
    <w:rsid w:val="00D11989"/>
    <w:rsid w:val="00D22414"/>
    <w:rsid w:val="00D2279F"/>
    <w:rsid w:val="00D25C13"/>
    <w:rsid w:val="00D25E64"/>
    <w:rsid w:val="00D26CE6"/>
    <w:rsid w:val="00D306C7"/>
    <w:rsid w:val="00D37E9D"/>
    <w:rsid w:val="00D437FE"/>
    <w:rsid w:val="00D458D0"/>
    <w:rsid w:val="00D709F5"/>
    <w:rsid w:val="00D722FF"/>
    <w:rsid w:val="00D73F43"/>
    <w:rsid w:val="00D90B22"/>
    <w:rsid w:val="00D94310"/>
    <w:rsid w:val="00D95858"/>
    <w:rsid w:val="00D97930"/>
    <w:rsid w:val="00DA3676"/>
    <w:rsid w:val="00DC7C4E"/>
    <w:rsid w:val="00DD1187"/>
    <w:rsid w:val="00DD4A58"/>
    <w:rsid w:val="00DE4572"/>
    <w:rsid w:val="00DE48BA"/>
    <w:rsid w:val="00E060FC"/>
    <w:rsid w:val="00E119CE"/>
    <w:rsid w:val="00E1669E"/>
    <w:rsid w:val="00E170B9"/>
    <w:rsid w:val="00E25A66"/>
    <w:rsid w:val="00E30299"/>
    <w:rsid w:val="00E32CE9"/>
    <w:rsid w:val="00E37463"/>
    <w:rsid w:val="00E40FA2"/>
    <w:rsid w:val="00E4253B"/>
    <w:rsid w:val="00E507F0"/>
    <w:rsid w:val="00E5101C"/>
    <w:rsid w:val="00E5469F"/>
    <w:rsid w:val="00E55714"/>
    <w:rsid w:val="00E63944"/>
    <w:rsid w:val="00E7409D"/>
    <w:rsid w:val="00E94026"/>
    <w:rsid w:val="00EB7A2B"/>
    <w:rsid w:val="00EC3BCA"/>
    <w:rsid w:val="00EC7EDC"/>
    <w:rsid w:val="00ED29F2"/>
    <w:rsid w:val="00ED3C15"/>
    <w:rsid w:val="00ED63B7"/>
    <w:rsid w:val="00EE18FB"/>
    <w:rsid w:val="00EE2669"/>
    <w:rsid w:val="00EE6F32"/>
    <w:rsid w:val="00EE758A"/>
    <w:rsid w:val="00EF106F"/>
    <w:rsid w:val="00F10039"/>
    <w:rsid w:val="00F1588D"/>
    <w:rsid w:val="00F2046B"/>
    <w:rsid w:val="00F27DBB"/>
    <w:rsid w:val="00F32661"/>
    <w:rsid w:val="00F33510"/>
    <w:rsid w:val="00F34176"/>
    <w:rsid w:val="00F350ED"/>
    <w:rsid w:val="00F41E52"/>
    <w:rsid w:val="00F427BC"/>
    <w:rsid w:val="00F57C63"/>
    <w:rsid w:val="00F616A2"/>
    <w:rsid w:val="00F80293"/>
    <w:rsid w:val="00F8575A"/>
    <w:rsid w:val="00F97B3A"/>
    <w:rsid w:val="00FB21EE"/>
    <w:rsid w:val="00FB2532"/>
    <w:rsid w:val="00FB4570"/>
    <w:rsid w:val="00FC482C"/>
    <w:rsid w:val="00FD4E81"/>
    <w:rsid w:val="00FE1C29"/>
    <w:rsid w:val="00FE30CC"/>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cp:lastModifiedBy>
  <cp:revision>22</cp:revision>
  <dcterms:created xsi:type="dcterms:W3CDTF">2025-05-16T07:35:00Z</dcterms:created>
  <dcterms:modified xsi:type="dcterms:W3CDTF">2025-05-26T05:32:00Z</dcterms:modified>
</cp:coreProperties>
</file>