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2557C393" w14:textId="77777777" w:rsidR="0037324D" w:rsidRPr="006B381E" w:rsidRDefault="0037324D" w:rsidP="00F350ED">
      <w:pPr>
        <w:ind w:right="-330"/>
        <w:rPr>
          <w:rFonts w:ascii="Times New Roman" w:hAnsi="Times New Roman" w:cs="Times New Roman"/>
          <w:b/>
          <w:bCs/>
          <w:sz w:val="24"/>
          <w:szCs w:val="24"/>
          <w:lang w:val="sr-Cyrl-RS"/>
        </w:rPr>
      </w:pP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2171EADC" w:rsidR="004A39C2" w:rsidRPr="006B381E" w:rsidRDefault="002D0FF1"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238C2659"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w:t>
      </w:r>
      <w:r w:rsidR="00AD3234">
        <w:rPr>
          <w:rFonts w:ascii="Times New Roman" w:hAnsi="Times New Roman" w:cs="Times New Roman"/>
          <w:sz w:val="24"/>
          <w:szCs w:val="24"/>
          <w:lang w:val="sr-Cyrl-RS"/>
        </w:rPr>
        <w:t>не</w:t>
      </w:r>
      <w:r w:rsidRPr="006B381E">
        <w:rPr>
          <w:rFonts w:ascii="Times New Roman" w:hAnsi="Times New Roman" w:cs="Times New Roman"/>
          <w:sz w:val="24"/>
          <w:szCs w:val="24"/>
          <w:lang w:val="sr-Cyrl-RS"/>
        </w:rPr>
        <w:t xml:space="preserve">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 xml:space="preserve">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 </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330919DE" w14:textId="7EE20468" w:rsidR="004261D1" w:rsidRPr="006B381E" w:rsidRDefault="004A39C2" w:rsidP="004261D1">
      <w:pPr>
        <w:jc w:val="both"/>
        <w:rPr>
          <w:rFonts w:ascii="Times New Roman" w:hAnsi="Times New Roman" w:cs="Times New Roman"/>
          <w:b/>
          <w:lang w:val="sr-Cyrl-RS"/>
        </w:rPr>
      </w:pPr>
      <w:r w:rsidRPr="006B381E">
        <w:rPr>
          <w:rFonts w:ascii="Times New Roman" w:hAnsi="Times New Roman" w:cs="Times New Roman"/>
          <w:b/>
          <w:bCs/>
          <w:sz w:val="24"/>
          <w:szCs w:val="24"/>
          <w:lang w:val="sr-Cyrl-RS"/>
        </w:rPr>
        <w:t>Позиција</w:t>
      </w:r>
      <w:r w:rsidR="0037324D" w:rsidRPr="006B381E">
        <w:rPr>
          <w:rFonts w:ascii="Times New Roman" w:hAnsi="Times New Roman" w:cs="Times New Roman"/>
          <w:b/>
          <w:bCs/>
          <w:sz w:val="24"/>
          <w:szCs w:val="24"/>
          <w:lang w:val="sr-Cyrl-RS"/>
        </w:rPr>
        <w:t xml:space="preserve">: </w:t>
      </w:r>
      <w:bookmarkStart w:id="0" w:name="_Hlk153920243"/>
      <w:bookmarkStart w:id="1" w:name="_Hlk158304084"/>
      <w:r w:rsidR="004261D1" w:rsidRPr="006B381E">
        <w:rPr>
          <w:rFonts w:ascii="Times New Roman" w:hAnsi="Times New Roman" w:cs="Times New Roman"/>
          <w:b/>
          <w:bCs/>
          <w:sz w:val="24"/>
          <w:szCs w:val="24"/>
          <w:lang w:val="sr-Cyrl-RS"/>
        </w:rPr>
        <w:t xml:space="preserve">Консултант </w:t>
      </w:r>
      <w:bookmarkEnd w:id="0"/>
      <w:r w:rsidR="004261D1" w:rsidRPr="006B381E">
        <w:rPr>
          <w:rFonts w:ascii="Times New Roman" w:hAnsi="Times New Roman" w:cs="Times New Roman"/>
          <w:b/>
          <w:bCs/>
          <w:sz w:val="24"/>
          <w:szCs w:val="24"/>
          <w:lang w:val="sr-Cyrl-RS"/>
        </w:rPr>
        <w:t xml:space="preserve">за </w:t>
      </w:r>
      <w:bookmarkEnd w:id="1"/>
      <w:r w:rsidR="004261D1" w:rsidRPr="006B381E">
        <w:rPr>
          <w:rFonts w:ascii="Times New Roman" w:hAnsi="Times New Roman" w:cs="Times New Roman"/>
          <w:b/>
          <w:bCs/>
          <w:sz w:val="24"/>
          <w:szCs w:val="24"/>
          <w:lang w:val="sr-Cyrl-RS"/>
        </w:rPr>
        <w:t>развој стандарда за самовредновање и спољашње вредновање квалитета рада јавно признатог организатора активности образовања одраслих</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7AA02F46" w14:textId="714F152E" w:rsidR="0028416B" w:rsidRPr="006B381E" w:rsidRDefault="00344DD5" w:rsidP="007C64C3">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 биће ангажован тим консултанта који ће реализовати активности предвиђене пројектним задатком, међу којима је и консултант за </w:t>
      </w:r>
      <w:r w:rsidR="002E6082" w:rsidRPr="006B381E">
        <w:rPr>
          <w:rFonts w:ascii="Times New Roman" w:hAnsi="Times New Roman" w:cs="Times New Roman"/>
          <w:sz w:val="24"/>
          <w:szCs w:val="24"/>
          <w:lang w:val="sr-Cyrl-RS"/>
        </w:rPr>
        <w:t xml:space="preserve">развој стандарда за самовредновање и спољашње вредновање квалитета рада јавно признатог организатора активности образовања одраслих. </w:t>
      </w:r>
    </w:p>
    <w:p w14:paraId="67F6D539" w14:textId="67618623" w:rsidR="0028416B" w:rsidRPr="006B381E" w:rsidRDefault="00025701" w:rsidP="007C64C3">
      <w:pPr>
        <w:pStyle w:val="ListParagraph"/>
        <w:numPr>
          <w:ilvl w:val="0"/>
          <w:numId w:val="20"/>
        </w:numPr>
        <w:spacing w:after="120"/>
        <w:ind w:left="283" w:right="-329" w:hanging="215"/>
        <w:contextualSpacing w:val="0"/>
        <w:jc w:val="both"/>
        <w:rPr>
          <w:rFonts w:ascii="Times New Roman" w:hAnsi="Times New Roman" w:cs="Times New Roman"/>
          <w:b/>
          <w:bCs/>
          <w:sz w:val="24"/>
          <w:szCs w:val="24"/>
          <w:lang w:val="sr-Cyrl-RS"/>
        </w:rPr>
      </w:pPr>
      <w:r w:rsidRPr="006B381E">
        <w:rPr>
          <w:rFonts w:ascii="Times New Roman" w:hAnsi="Times New Roman" w:cs="Times New Roman"/>
          <w:b/>
          <w:bCs/>
          <w:sz w:val="24"/>
          <w:szCs w:val="24"/>
          <w:lang w:val="sr-Cyrl-RS"/>
        </w:rPr>
        <w:t xml:space="preserve"> </w:t>
      </w:r>
      <w:r w:rsidR="0028416B" w:rsidRPr="006B381E">
        <w:rPr>
          <w:rFonts w:ascii="Times New Roman" w:hAnsi="Times New Roman" w:cs="Times New Roman"/>
          <w:b/>
          <w:bCs/>
          <w:sz w:val="24"/>
          <w:szCs w:val="24"/>
          <w:lang w:val="sr-Cyrl-RS"/>
        </w:rPr>
        <w:t>Циљеви ангажовања</w:t>
      </w:r>
    </w:p>
    <w:p w14:paraId="12B6F31C" w14:textId="3ABB637D" w:rsidR="00A42A3A" w:rsidRPr="006B381E" w:rsidRDefault="00025701" w:rsidP="007C64C3">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Oд ангажованог консултаната се очекује подршка имплементацији пројектних активности у складу са пројектним задацима, како би се омогућило ефикасно достизање планираних пројектних резултата и исхода</w:t>
      </w:r>
      <w:r w:rsidR="00A42A3A" w:rsidRPr="006B381E">
        <w:rPr>
          <w:rFonts w:ascii="Times New Roman" w:hAnsi="Times New Roman" w:cs="Times New Roman"/>
          <w:sz w:val="24"/>
          <w:szCs w:val="24"/>
          <w:lang w:val="sr-Cyrl-RS"/>
        </w:rPr>
        <w:t>.</w:t>
      </w:r>
    </w:p>
    <w:p w14:paraId="57931210" w14:textId="21F28D0C" w:rsidR="00BB0107" w:rsidRPr="006B381E" w:rsidRDefault="00BB0107" w:rsidP="007C64C3">
      <w:pPr>
        <w:pStyle w:val="ListParagraph"/>
        <w:numPr>
          <w:ilvl w:val="0"/>
          <w:numId w:val="20"/>
        </w:numPr>
        <w:spacing w:after="120"/>
        <w:ind w:left="221" w:right="-329" w:hanging="193"/>
        <w:contextualSpacing w:val="0"/>
        <w:jc w:val="both"/>
        <w:rPr>
          <w:rFonts w:ascii="Times New Roman" w:hAnsi="Times New Roman" w:cs="Times New Roman"/>
          <w:b/>
          <w:bCs/>
          <w:sz w:val="24"/>
          <w:szCs w:val="24"/>
          <w:lang w:val="sr-Cyrl-RS"/>
        </w:rPr>
      </w:pPr>
      <w:r w:rsidRPr="006B381E">
        <w:rPr>
          <w:rFonts w:ascii="Times New Roman" w:hAnsi="Times New Roman" w:cs="Times New Roman"/>
          <w:b/>
          <w:bCs/>
          <w:sz w:val="24"/>
          <w:szCs w:val="24"/>
          <w:lang w:val="sr-Cyrl-RS"/>
        </w:rPr>
        <w:t xml:space="preserve"> Контекст задатка</w:t>
      </w:r>
    </w:p>
    <w:p w14:paraId="0F8660F1" w14:textId="77777777" w:rsidR="00BD071C" w:rsidRPr="006B381E" w:rsidRDefault="00BB0107" w:rsidP="00BD071C">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Дуални систем образовања показао се као модел који омогућава да се ефикасније премости јаз између образовања и запошљавања кроз стицање вештина, знања и способности у складу са стандардом квалификација. Наредни кораци у развоју дуалног система обухватају успостављање оквира за праћење и евалуацију, како би се осигурао квалитет Националног модела дуалног образовања. Значај успостављања оквира за праћење и евалуацију препознат је у Стратегији развоја образовања до 2030. године и у Програму економских реформи, кроз планиране активности на унапређењу законодавства, изградњу капацитета на различитим нивоима и подршку дигитализацији. </w:t>
      </w:r>
    </w:p>
    <w:p w14:paraId="51CF1A52" w14:textId="77777777" w:rsidR="00BD071C" w:rsidRPr="006B381E" w:rsidRDefault="00BB0107" w:rsidP="00BD071C">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lastRenderedPageBreak/>
        <w:t xml:space="preserve">Истовремено, унапређивање концепта целоживотног учења ће допринети побољшању положаја особа са ниским квалификацијама или без квалификација. Идентификација 2 квалификација за којима постоји потреба на тржишту рада и додатне могућности за преквалификацију или доквалификацију допринеће бољој усклађености између понуде и потражње радне снаге. Кроз пројектне активности планирано је јачање капацитета институција за подршку и спровођење активности образовања одраслих, као и праћење и евалуацију резултата ових активности. </w:t>
      </w:r>
    </w:p>
    <w:p w14:paraId="15D06B73" w14:textId="77777777" w:rsidR="0042589B" w:rsidRPr="006B381E" w:rsidRDefault="00BB0107" w:rsidP="0042589B">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Како би се системом дуалног образовања и целоживотним учењем ефикасно управљало, неопходни су транспарентан систем квалификација и релевантне информације који би омогућили неопходно праћење резултата и доношење одлука на основу података. </w:t>
      </w:r>
    </w:p>
    <w:p w14:paraId="53F81185" w14:textId="1E553D16" w:rsidR="00344DD5" w:rsidRPr="006B381E" w:rsidRDefault="00BB0107" w:rsidP="0042589B">
      <w:pPr>
        <w:spacing w:after="0"/>
        <w:ind w:left="-154"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Очекивани исходи пројекта су: </w:t>
      </w:r>
    </w:p>
    <w:p w14:paraId="1922817C" w14:textId="77777777" w:rsidR="00344DD5" w:rsidRPr="006B381E" w:rsidRDefault="00344DD5" w:rsidP="00333FA6">
      <w:pPr>
        <w:spacing w:after="0" w:line="276" w:lineRule="auto"/>
        <w:contextualSpacing/>
        <w:jc w:val="both"/>
        <w:rPr>
          <w:rFonts w:ascii="Times New Roman" w:hAnsi="Times New Roman" w:cs="Times New Roman"/>
          <w:sz w:val="24"/>
          <w:szCs w:val="24"/>
          <w:lang w:val="sr-Cyrl-RS"/>
        </w:rPr>
      </w:pPr>
    </w:p>
    <w:p w14:paraId="00D3BC65" w14:textId="77777777" w:rsidR="00333FA6" w:rsidRPr="006B381E" w:rsidRDefault="00333FA6" w:rsidP="00333FA6">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55EF29A9" w14:textId="77777777" w:rsidR="00333FA6" w:rsidRPr="006B381E" w:rsidRDefault="00333FA6" w:rsidP="00333FA6">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2C6980AA" w14:textId="7EB9161A" w:rsidR="00C07980" w:rsidRPr="006B381E" w:rsidRDefault="00333FA6" w:rsidP="00401354">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65FA2DDF" w14:textId="77777777" w:rsidR="00145543" w:rsidRPr="006B381E" w:rsidRDefault="00145543" w:rsidP="00145543">
      <w:pPr>
        <w:pStyle w:val="ListParagraph"/>
        <w:spacing w:after="0" w:line="276" w:lineRule="auto"/>
        <w:jc w:val="both"/>
        <w:rPr>
          <w:rFonts w:ascii="Times New Roman" w:hAnsi="Times New Roman" w:cs="Times New Roman"/>
          <w:bCs/>
          <w:sz w:val="24"/>
          <w:szCs w:val="24"/>
          <w:lang w:val="sr-Cyrl-RS"/>
        </w:rPr>
      </w:pPr>
    </w:p>
    <w:p w14:paraId="0411C12B" w14:textId="661FD254" w:rsidR="00401354" w:rsidRPr="006B381E" w:rsidRDefault="005428E9" w:rsidP="007C64C3">
      <w:pPr>
        <w:spacing w:after="360" w:line="276" w:lineRule="auto"/>
        <w:ind w:left="-153"/>
        <w:jc w:val="both"/>
        <w:rPr>
          <w:rFonts w:ascii="Times New Roman" w:eastAsia="Times New Roman" w:hAnsi="Times New Roman" w:cs="Times New Roman"/>
          <w:bCs/>
          <w:sz w:val="24"/>
          <w:szCs w:val="24"/>
          <w:lang w:val="sr-Cyrl-RS" w:eastAsia="zh-CN"/>
        </w:rPr>
      </w:pPr>
      <w:r w:rsidRPr="006B381E">
        <w:rPr>
          <w:rFonts w:ascii="Times New Roman" w:eastAsia="Times New Roman" w:hAnsi="Times New Roman" w:cs="Times New Roman"/>
          <w:bCs/>
          <w:sz w:val="24"/>
          <w:szCs w:val="24"/>
          <w:lang w:val="sr-Cyrl-RS" w:eastAsia="zh-CN"/>
        </w:rPr>
        <w:t>Ови исходи биће достигнути кроз интензивне и међусобно повезане активности предвиђене пројектним задатком. Јединица за имплементацију пројекта и ангажовани консултанти биће задужени за пружање неопходне подршке и реализацију предвиђених активности</w:t>
      </w:r>
      <w:r w:rsidR="00401354" w:rsidRPr="006B381E">
        <w:rPr>
          <w:rFonts w:ascii="Times New Roman" w:eastAsia="Times New Roman" w:hAnsi="Times New Roman" w:cs="Times New Roman"/>
          <w:bCs/>
          <w:sz w:val="24"/>
          <w:szCs w:val="24"/>
          <w:lang w:val="sr-Cyrl-RS" w:eastAsia="zh-CN"/>
        </w:rPr>
        <w:t>.</w:t>
      </w:r>
    </w:p>
    <w:p w14:paraId="0AA4F313" w14:textId="7105D4C8" w:rsidR="00BC2C50" w:rsidRPr="006B381E" w:rsidRDefault="007C64C3" w:rsidP="007C64C3">
      <w:pPr>
        <w:pStyle w:val="ListParagraph"/>
        <w:numPr>
          <w:ilvl w:val="0"/>
          <w:numId w:val="23"/>
        </w:numPr>
        <w:pBdr>
          <w:top w:val="nil"/>
          <w:left w:val="nil"/>
          <w:bottom w:val="nil"/>
          <w:right w:val="nil"/>
          <w:between w:val="nil"/>
        </w:pBdr>
        <w:spacing w:after="120" w:line="276" w:lineRule="auto"/>
        <w:ind w:left="714" w:hanging="357"/>
        <w:contextualSpacing w:val="0"/>
        <w:jc w:val="both"/>
        <w:rPr>
          <w:rFonts w:ascii="Times New Roman" w:hAnsi="Times New Roman" w:cs="Times New Roman"/>
          <w:b/>
          <w:color w:val="000000"/>
          <w:sz w:val="24"/>
          <w:szCs w:val="24"/>
          <w:lang w:val="sr-Cyrl-RS"/>
        </w:rPr>
      </w:pPr>
      <w:r w:rsidRPr="006B381E">
        <w:rPr>
          <w:rFonts w:ascii="Times New Roman" w:hAnsi="Times New Roman" w:cs="Times New Roman"/>
          <w:b/>
          <w:color w:val="000000"/>
          <w:sz w:val="24"/>
          <w:szCs w:val="24"/>
          <w:lang w:val="sr-Cyrl-RS"/>
        </w:rPr>
        <w:t xml:space="preserve">Задаци Консултанта </w:t>
      </w:r>
    </w:p>
    <w:p w14:paraId="750DC810" w14:textId="77777777" w:rsidR="00BC2C50" w:rsidRPr="006B381E" w:rsidRDefault="00BC2C50" w:rsidP="00BD0E64">
      <w:pPr>
        <w:spacing w:after="6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У оквиру Пројектног задатка од консултанта се очекује реализација следећих активности:</w:t>
      </w:r>
    </w:p>
    <w:p w14:paraId="2CC0F571" w14:textId="77777777" w:rsidR="00BC2C50" w:rsidRPr="006B381E" w:rsidRDefault="00BC2C50" w:rsidP="00BD0E64">
      <w:pPr>
        <w:numPr>
          <w:ilvl w:val="0"/>
          <w:numId w:val="22"/>
        </w:numPr>
        <w:suppressAutoHyphens/>
        <w:spacing w:after="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Развијање методологије и плана рада;</w:t>
      </w:r>
      <w:r w:rsidRPr="006B381E">
        <w:rPr>
          <w:rFonts w:ascii="Times New Roman" w:hAnsi="Times New Roman" w:cs="Times New Roman"/>
          <w:b/>
          <w:sz w:val="24"/>
          <w:szCs w:val="24"/>
          <w:lang w:val="sr-Cyrl-RS"/>
        </w:rPr>
        <w:t xml:space="preserve"> </w:t>
      </w:r>
    </w:p>
    <w:p w14:paraId="0194AB9F" w14:textId="77777777" w:rsidR="00BC2C50" w:rsidRPr="006B381E" w:rsidRDefault="00BC2C50" w:rsidP="00BD0E64">
      <w:pPr>
        <w:numPr>
          <w:ilvl w:val="0"/>
          <w:numId w:val="22"/>
        </w:numPr>
        <w:suppressAutoHyphens/>
        <w:spacing w:after="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Организација рада и активности радне групе / консултативног тела коју је именовало Министарство просвете; </w:t>
      </w:r>
    </w:p>
    <w:p w14:paraId="3F88B5BF" w14:textId="77777777" w:rsidR="00BC2C50" w:rsidRPr="006B381E" w:rsidRDefault="00BC2C50" w:rsidP="00BD0E64">
      <w:pPr>
        <w:numPr>
          <w:ilvl w:val="0"/>
          <w:numId w:val="22"/>
        </w:numPr>
        <w:suppressAutoHyphens/>
        <w:spacing w:after="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Анализа примене постојећих стандарда за ревидирање стандарда квалитета за неформално учење, признавање претходног учења и каријерно вођење и саветовање;</w:t>
      </w:r>
    </w:p>
    <w:p w14:paraId="7AB1490F" w14:textId="77777777" w:rsidR="00BC2C50" w:rsidRPr="006B381E" w:rsidRDefault="00BC2C50" w:rsidP="00BD0E64">
      <w:pPr>
        <w:numPr>
          <w:ilvl w:val="0"/>
          <w:numId w:val="22"/>
        </w:numPr>
        <w:suppressAutoHyphens/>
        <w:spacing w:after="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Припрема нацрта предлога за ревидирање стандарда квалитета за неформално учење, признавање претходног учења и каријерно вођење и саветовање;</w:t>
      </w:r>
    </w:p>
    <w:p w14:paraId="7E4CC699" w14:textId="77777777" w:rsidR="00BC2C50" w:rsidRPr="006B381E" w:rsidRDefault="00BC2C50" w:rsidP="00BD0E64">
      <w:pPr>
        <w:numPr>
          <w:ilvl w:val="0"/>
          <w:numId w:val="22"/>
        </w:numPr>
        <w:suppressAutoHyphens/>
        <w:spacing w:after="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Спровођење консултативног процеса са свим релевантним актерима;</w:t>
      </w:r>
    </w:p>
    <w:p w14:paraId="626BC90D" w14:textId="77777777" w:rsidR="00BC2C50" w:rsidRPr="006B381E" w:rsidRDefault="00BC2C50" w:rsidP="00BD0E64">
      <w:pPr>
        <w:numPr>
          <w:ilvl w:val="0"/>
          <w:numId w:val="22"/>
        </w:numPr>
        <w:suppressAutoHyphens/>
        <w:spacing w:after="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Припрема финалне верзије предлога за ревидирање </w:t>
      </w:r>
      <w:r w:rsidRPr="006B381E">
        <w:rPr>
          <w:rFonts w:ascii="Times New Roman" w:hAnsi="Times New Roman" w:cs="Times New Roman"/>
          <w:sz w:val="24"/>
          <w:szCs w:val="24"/>
          <w:highlight w:val="white"/>
          <w:lang w:val="sr-Cyrl-RS"/>
        </w:rPr>
        <w:t xml:space="preserve">стандарда </w:t>
      </w:r>
      <w:r w:rsidRPr="006B381E">
        <w:rPr>
          <w:rFonts w:ascii="Times New Roman" w:hAnsi="Times New Roman" w:cs="Times New Roman"/>
          <w:sz w:val="24"/>
          <w:szCs w:val="24"/>
          <w:lang w:val="sr-Cyrl-RS"/>
        </w:rPr>
        <w:t xml:space="preserve">за неформално учење, признавање претходног учења каријерно вођење и саветовање и припрема предлога </w:t>
      </w:r>
      <w:r w:rsidRPr="006B381E">
        <w:rPr>
          <w:rFonts w:ascii="Times New Roman" w:hAnsi="Times New Roman" w:cs="Times New Roman"/>
          <w:sz w:val="24"/>
          <w:szCs w:val="24"/>
          <w:highlight w:val="white"/>
          <w:lang w:val="sr-Cyrl-RS"/>
        </w:rPr>
        <w:t>Правилника о стандардима;</w:t>
      </w:r>
    </w:p>
    <w:p w14:paraId="086E29EA" w14:textId="777EC87E" w:rsidR="00FB21EE" w:rsidRDefault="00BC2C50" w:rsidP="00BD0E64">
      <w:pPr>
        <w:numPr>
          <w:ilvl w:val="0"/>
          <w:numId w:val="22"/>
        </w:numPr>
        <w:suppressAutoHyphens/>
        <w:spacing w:after="60" w:line="1" w:lineRule="atLeast"/>
        <w:ind w:left="714" w:hanging="357"/>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Израда смерница за примену ревидираних </w:t>
      </w:r>
      <w:r w:rsidRPr="006B381E">
        <w:rPr>
          <w:rFonts w:ascii="Times New Roman" w:hAnsi="Times New Roman" w:cs="Times New Roman"/>
          <w:sz w:val="24"/>
          <w:szCs w:val="24"/>
          <w:highlight w:val="white"/>
          <w:lang w:val="sr-Cyrl-RS"/>
        </w:rPr>
        <w:t xml:space="preserve">стандарда квалитета </w:t>
      </w:r>
      <w:r w:rsidRPr="006B381E">
        <w:rPr>
          <w:rFonts w:ascii="Times New Roman" w:hAnsi="Times New Roman" w:cs="Times New Roman"/>
          <w:sz w:val="24"/>
          <w:szCs w:val="24"/>
          <w:lang w:val="sr-Cyrl-RS"/>
        </w:rPr>
        <w:t>за неформално учење, признавање претходног учења и каријерног вођења и саветовања.</w:t>
      </w:r>
    </w:p>
    <w:p w14:paraId="3609C656" w14:textId="77777777" w:rsidR="009B184D" w:rsidRDefault="009B184D" w:rsidP="009B184D">
      <w:pPr>
        <w:suppressAutoHyphens/>
        <w:spacing w:after="360" w:line="1" w:lineRule="atLeast"/>
        <w:ind w:left="714"/>
        <w:jc w:val="both"/>
        <w:textDirection w:val="btLr"/>
        <w:textAlignment w:val="top"/>
        <w:outlineLvl w:val="0"/>
        <w:rPr>
          <w:rFonts w:ascii="Times New Roman" w:hAnsi="Times New Roman" w:cs="Times New Roman"/>
          <w:sz w:val="24"/>
          <w:szCs w:val="24"/>
          <w:lang w:val="sr-Latn-RS"/>
        </w:rPr>
      </w:pPr>
    </w:p>
    <w:p w14:paraId="294E39AA" w14:textId="77777777" w:rsidR="00A14377" w:rsidRPr="00A14377" w:rsidRDefault="00A14377" w:rsidP="009B184D">
      <w:pPr>
        <w:suppressAutoHyphens/>
        <w:spacing w:after="360" w:line="1" w:lineRule="atLeast"/>
        <w:ind w:left="714"/>
        <w:jc w:val="both"/>
        <w:textDirection w:val="btLr"/>
        <w:textAlignment w:val="top"/>
        <w:outlineLvl w:val="0"/>
        <w:rPr>
          <w:rFonts w:ascii="Times New Roman" w:hAnsi="Times New Roman" w:cs="Times New Roman"/>
          <w:sz w:val="24"/>
          <w:szCs w:val="24"/>
          <w:lang w:val="sr-Latn-RS"/>
        </w:rPr>
      </w:pPr>
    </w:p>
    <w:p w14:paraId="0B4D4F3B" w14:textId="20C36687" w:rsidR="00FB21EE" w:rsidRPr="006B381E" w:rsidRDefault="0042788F" w:rsidP="0042788F">
      <w:pPr>
        <w:pStyle w:val="ListParagraph"/>
        <w:numPr>
          <w:ilvl w:val="0"/>
          <w:numId w:val="23"/>
        </w:numPr>
        <w:spacing w:line="276" w:lineRule="auto"/>
        <w:ind w:right="-330"/>
        <w:jc w:val="both"/>
        <w:rPr>
          <w:rFonts w:ascii="Times New Roman" w:hAnsi="Times New Roman" w:cs="Times New Roman"/>
          <w:b/>
          <w:bCs/>
          <w:sz w:val="24"/>
          <w:szCs w:val="24"/>
          <w:lang w:val="sr-Cyrl-RS"/>
        </w:rPr>
      </w:pPr>
      <w:r w:rsidRPr="006B381E">
        <w:rPr>
          <w:rFonts w:ascii="Times New Roman" w:hAnsi="Times New Roman" w:cs="Times New Roman"/>
          <w:b/>
          <w:bCs/>
          <w:sz w:val="24"/>
          <w:szCs w:val="24"/>
          <w:lang w:val="sr-Cyrl-RS"/>
        </w:rPr>
        <w:lastRenderedPageBreak/>
        <w:t>Заинтересовани консултант треба да испуњава следеће услове</w:t>
      </w:r>
    </w:p>
    <w:p w14:paraId="63934EFA" w14:textId="77777777" w:rsidR="00E32CE9" w:rsidRPr="006B381E" w:rsidRDefault="00E32CE9" w:rsidP="00E32CE9">
      <w:pPr>
        <w:ind w:hanging="2"/>
        <w:jc w:val="both"/>
        <w:rPr>
          <w:rFonts w:ascii="Times New Roman" w:hAnsi="Times New Roman" w:cs="Times New Roman"/>
          <w:sz w:val="24"/>
          <w:szCs w:val="24"/>
          <w:lang w:val="sr-Cyrl-RS"/>
        </w:rPr>
      </w:pPr>
      <w:r w:rsidRPr="006B381E">
        <w:rPr>
          <w:rFonts w:ascii="Times New Roman" w:hAnsi="Times New Roman" w:cs="Times New Roman"/>
          <w:sz w:val="24"/>
          <w:szCs w:val="24"/>
          <w:u w:val="single"/>
          <w:lang w:val="sr-Cyrl-RS"/>
        </w:rPr>
        <w:t>Квалификације и вештине:</w:t>
      </w:r>
    </w:p>
    <w:p w14:paraId="2549C8FA" w14:textId="77777777" w:rsidR="00E32CE9" w:rsidRPr="006B381E" w:rsidRDefault="00E32CE9" w:rsidP="00E32CE9">
      <w:pPr>
        <w:numPr>
          <w:ilvl w:val="0"/>
          <w:numId w:val="24"/>
        </w:numPr>
        <w:suppressAutoHyphens/>
        <w:spacing w:before="60" w:after="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Минимум мастер ниво у области образовања, педагогије или сродних области (ниво 7.1 НОКС-а)</w:t>
      </w:r>
    </w:p>
    <w:p w14:paraId="1AAFF7D6" w14:textId="77777777" w:rsidR="00E32CE9" w:rsidRPr="006B381E" w:rsidRDefault="00E32CE9" w:rsidP="00E32CE9">
      <w:pPr>
        <w:numPr>
          <w:ilvl w:val="0"/>
          <w:numId w:val="24"/>
        </w:numPr>
        <w:suppressAutoHyphens/>
        <w:spacing w:before="60" w:after="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Познавање законодавног и институционалног оквира система образовања</w:t>
      </w:r>
    </w:p>
    <w:p w14:paraId="6BC39E7D" w14:textId="77777777" w:rsidR="00E32CE9" w:rsidRPr="006B381E" w:rsidRDefault="00E32CE9" w:rsidP="00E32CE9">
      <w:pPr>
        <w:numPr>
          <w:ilvl w:val="0"/>
          <w:numId w:val="24"/>
        </w:numPr>
        <w:suppressAutoHyphens/>
        <w:spacing w:before="60" w:after="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Аналитичке способности и способност доношења одлука на основу података </w:t>
      </w:r>
    </w:p>
    <w:p w14:paraId="4AA401C5" w14:textId="77777777" w:rsidR="00E32CE9" w:rsidRPr="006B381E" w:rsidRDefault="00E32CE9" w:rsidP="00E32CE9">
      <w:pPr>
        <w:numPr>
          <w:ilvl w:val="0"/>
          <w:numId w:val="24"/>
        </w:numPr>
        <w:suppressAutoHyphens/>
        <w:spacing w:before="60" w:after="24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Способност комуницирања резултата анализа и препорука на разумљив начин</w:t>
      </w:r>
    </w:p>
    <w:p w14:paraId="10E4ACD3" w14:textId="77777777" w:rsidR="00E32CE9" w:rsidRPr="006B381E" w:rsidRDefault="00E32CE9" w:rsidP="00E32CE9">
      <w:pPr>
        <w:spacing w:before="240"/>
        <w:ind w:hanging="2"/>
        <w:jc w:val="both"/>
        <w:rPr>
          <w:rFonts w:ascii="Times New Roman" w:hAnsi="Times New Roman" w:cs="Times New Roman"/>
          <w:sz w:val="24"/>
          <w:szCs w:val="24"/>
          <w:u w:val="single"/>
          <w:lang w:val="sr-Cyrl-RS"/>
        </w:rPr>
      </w:pPr>
      <w:r w:rsidRPr="006B381E">
        <w:rPr>
          <w:rFonts w:ascii="Times New Roman" w:hAnsi="Times New Roman" w:cs="Times New Roman"/>
          <w:sz w:val="24"/>
          <w:szCs w:val="24"/>
          <w:u w:val="single"/>
          <w:lang w:val="sr-Cyrl-RS"/>
        </w:rPr>
        <w:t>Професионално искуство:</w:t>
      </w:r>
    </w:p>
    <w:p w14:paraId="2FC6CE5B" w14:textId="77777777" w:rsidR="00E32CE9" w:rsidRPr="006B381E" w:rsidRDefault="00E32CE9" w:rsidP="00E32CE9">
      <w:pPr>
        <w:pStyle w:val="ListParagraph"/>
        <w:numPr>
          <w:ilvl w:val="0"/>
          <w:numId w:val="25"/>
        </w:numPr>
        <w:suppressAutoHyphens/>
        <w:spacing w:before="60" w:after="24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Најмање десет (10) година професионалног искуства у области образовања, укључујући искуство у развоју, имплементацији или евалуацији осигурања квалитета у образовању</w:t>
      </w:r>
    </w:p>
    <w:p w14:paraId="78E73945" w14:textId="77777777" w:rsidR="00E32CE9" w:rsidRPr="006B381E" w:rsidRDefault="00E32CE9" w:rsidP="00E32CE9">
      <w:pPr>
        <w:spacing w:before="240"/>
        <w:ind w:hanging="2"/>
        <w:jc w:val="both"/>
        <w:rPr>
          <w:rFonts w:ascii="Times New Roman" w:hAnsi="Times New Roman" w:cs="Times New Roman"/>
          <w:sz w:val="24"/>
          <w:szCs w:val="24"/>
          <w:u w:val="single"/>
          <w:lang w:val="sr-Cyrl-RS"/>
        </w:rPr>
      </w:pPr>
      <w:r w:rsidRPr="006B381E">
        <w:rPr>
          <w:rFonts w:ascii="Times New Roman" w:hAnsi="Times New Roman" w:cs="Times New Roman"/>
          <w:sz w:val="24"/>
          <w:szCs w:val="24"/>
          <w:u w:val="single"/>
          <w:lang w:val="sr-Cyrl-RS"/>
        </w:rPr>
        <w:t xml:space="preserve">Специфично професионално искуство: </w:t>
      </w:r>
    </w:p>
    <w:p w14:paraId="598CFF74" w14:textId="77777777" w:rsidR="00E32CE9" w:rsidRPr="006B381E" w:rsidRDefault="00E32CE9" w:rsidP="00E32CE9">
      <w:pPr>
        <w:numPr>
          <w:ilvl w:val="0"/>
          <w:numId w:val="26"/>
        </w:numPr>
        <w:suppressAutoHyphens/>
        <w:spacing w:before="60" w:after="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Најмање пет (5) година искуства у развоју, имплементацији или евалуацији </w:t>
      </w:r>
      <w:r w:rsidRPr="006B381E">
        <w:rPr>
          <w:rFonts w:ascii="Times New Roman" w:hAnsi="Times New Roman" w:cs="Times New Roman"/>
          <w:sz w:val="24"/>
          <w:szCs w:val="24"/>
          <w:highlight w:val="white"/>
          <w:lang w:val="sr-Cyrl-RS"/>
        </w:rPr>
        <w:t xml:space="preserve">стандарда </w:t>
      </w:r>
      <w:r w:rsidRPr="006B381E">
        <w:rPr>
          <w:rFonts w:ascii="Times New Roman" w:hAnsi="Times New Roman" w:cs="Times New Roman"/>
          <w:sz w:val="24"/>
          <w:szCs w:val="24"/>
          <w:lang w:val="sr-Cyrl-RS"/>
        </w:rPr>
        <w:t>у образовању, искуство у области развоја или евалуације стандарда у неформалном образовању сматраће се за предност</w:t>
      </w:r>
    </w:p>
    <w:p w14:paraId="1130FADB" w14:textId="77777777" w:rsidR="00E32CE9" w:rsidRPr="006B381E" w:rsidRDefault="00E32CE9" w:rsidP="00E32CE9">
      <w:pPr>
        <w:numPr>
          <w:ilvl w:val="0"/>
          <w:numId w:val="26"/>
        </w:numPr>
        <w:suppressAutoHyphens/>
        <w:spacing w:before="60" w:after="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Искуство у организацији и реализацији консултативних процеса са различитм социјалним партнерима у области образовања сматраће се за предност</w:t>
      </w:r>
    </w:p>
    <w:p w14:paraId="1F1464C0" w14:textId="77777777" w:rsidR="00E32CE9" w:rsidRPr="006B381E" w:rsidRDefault="00E32CE9" w:rsidP="00E32CE9">
      <w:pPr>
        <w:numPr>
          <w:ilvl w:val="0"/>
          <w:numId w:val="26"/>
        </w:numPr>
        <w:suppressAutoHyphens/>
        <w:spacing w:before="60" w:after="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Искуство у реализацији обука у области имплементације процедура и стандарда у образовању сматраће се за предност </w:t>
      </w:r>
    </w:p>
    <w:p w14:paraId="6C69CE46" w14:textId="77777777" w:rsidR="00E32CE9" w:rsidRPr="006B381E" w:rsidRDefault="00E32CE9" w:rsidP="00E32CE9">
      <w:pPr>
        <w:numPr>
          <w:ilvl w:val="0"/>
          <w:numId w:val="26"/>
        </w:numPr>
        <w:suppressAutoHyphens/>
        <w:spacing w:before="60" w:after="360" w:line="1" w:lineRule="atLeast"/>
        <w:jc w:val="both"/>
        <w:textDirection w:val="btLr"/>
        <w:textAlignment w:val="top"/>
        <w:outlineLvl w:val="0"/>
        <w:rPr>
          <w:rFonts w:ascii="Times New Roman" w:hAnsi="Times New Roman" w:cs="Times New Roman"/>
          <w:sz w:val="24"/>
          <w:szCs w:val="24"/>
          <w:lang w:val="sr-Cyrl-RS"/>
        </w:rPr>
      </w:pPr>
      <w:r w:rsidRPr="006B381E">
        <w:rPr>
          <w:rFonts w:ascii="Times New Roman" w:hAnsi="Times New Roman" w:cs="Times New Roman"/>
          <w:sz w:val="24"/>
          <w:szCs w:val="24"/>
          <w:lang w:val="sr-Cyrl-RS"/>
        </w:rPr>
        <w:t>Искуство/претходно ангажовање у пројектима у областима релевантним за пројектни задатак сматраће се за предност</w:t>
      </w:r>
    </w:p>
    <w:p w14:paraId="2324300F" w14:textId="53F4C7AF" w:rsidR="00E32CE9" w:rsidRPr="006B381E" w:rsidRDefault="002D7744" w:rsidP="002D7744">
      <w:pPr>
        <w:pStyle w:val="ListParagraph"/>
        <w:numPr>
          <w:ilvl w:val="0"/>
          <w:numId w:val="23"/>
        </w:numPr>
        <w:spacing w:line="276" w:lineRule="auto"/>
        <w:ind w:right="-330"/>
        <w:jc w:val="both"/>
        <w:rPr>
          <w:rFonts w:ascii="Times New Roman" w:hAnsi="Times New Roman" w:cs="Times New Roman"/>
          <w:b/>
          <w:bCs/>
          <w:sz w:val="24"/>
          <w:szCs w:val="24"/>
          <w:lang w:val="sr-Cyrl-RS"/>
        </w:rPr>
      </w:pPr>
      <w:r w:rsidRPr="006B381E">
        <w:rPr>
          <w:rFonts w:ascii="Times New Roman" w:hAnsi="Times New Roman" w:cs="Times New Roman"/>
          <w:b/>
          <w:bCs/>
          <w:sz w:val="24"/>
          <w:szCs w:val="24"/>
          <w:lang w:val="sr-Cyrl-RS"/>
        </w:rPr>
        <w:t>Трајање ангажмана</w:t>
      </w:r>
    </w:p>
    <w:p w14:paraId="63B5B265" w14:textId="2CEBAD49" w:rsidR="00C95642" w:rsidRPr="006B381E" w:rsidRDefault="00C95642"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на основу својих квалификација биће ангажован у периоду од марта до маја 2024. године.</w:t>
      </w:r>
    </w:p>
    <w:p w14:paraId="3A305CE1" w14:textId="5022D4BD" w:rsidR="00CA7E14" w:rsidRPr="006B381E" w:rsidRDefault="00CA7E14" w:rsidP="00CA7E14">
      <w:pPr>
        <w:pStyle w:val="ListParagraph"/>
        <w:numPr>
          <w:ilvl w:val="0"/>
          <w:numId w:val="23"/>
        </w:numPr>
        <w:spacing w:line="276" w:lineRule="auto"/>
        <w:ind w:right="-330"/>
        <w:jc w:val="both"/>
        <w:rPr>
          <w:rFonts w:ascii="Times New Roman" w:hAnsi="Times New Roman" w:cs="Times New Roman"/>
          <w:b/>
          <w:bCs/>
          <w:sz w:val="24"/>
          <w:szCs w:val="24"/>
          <w:lang w:val="sr-Cyrl-RS"/>
        </w:rPr>
      </w:pPr>
      <w:r w:rsidRPr="006B381E">
        <w:rPr>
          <w:rFonts w:ascii="Times New Roman" w:hAnsi="Times New Roman" w:cs="Times New Roman"/>
          <w:b/>
          <w:bCs/>
          <w:sz w:val="24"/>
          <w:szCs w:val="24"/>
          <w:lang w:val="sr-Cyrl-RS"/>
        </w:rPr>
        <w:t>Избор кандидата</w:t>
      </w:r>
    </w:p>
    <w:p w14:paraId="7FA0D771" w14:textId="5875FDF7" w:rsidR="0051368F" w:rsidRPr="006B381E" w:rsidRDefault="0051368F"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 </w:t>
      </w:r>
    </w:p>
    <w:p w14:paraId="1D0E5CD4" w14:textId="7EBBDA90" w:rsidR="008D1342" w:rsidRPr="006B381E" w:rsidRDefault="0051368F"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Заинтересовани кандидати ће подносити понуде у затвореним ковертама најкасније до 1</w:t>
      </w:r>
      <w:r w:rsidR="00804A75" w:rsidRPr="006B381E">
        <w:rPr>
          <w:rFonts w:ascii="Times New Roman" w:hAnsi="Times New Roman" w:cs="Times New Roman"/>
          <w:b/>
          <w:bCs/>
          <w:sz w:val="24"/>
          <w:szCs w:val="24"/>
          <w:lang w:val="sr-Cyrl-RS"/>
        </w:rPr>
        <w:t>1</w:t>
      </w:r>
      <w:r w:rsidRPr="006B381E">
        <w:rPr>
          <w:rFonts w:ascii="Times New Roman" w:hAnsi="Times New Roman" w:cs="Times New Roman"/>
          <w:b/>
          <w:bCs/>
          <w:sz w:val="24"/>
          <w:szCs w:val="24"/>
          <w:lang w:val="sr-Cyrl-RS"/>
        </w:rPr>
        <w:t>.0</w:t>
      </w:r>
      <w:r w:rsidR="00804A75" w:rsidRPr="006B381E">
        <w:rPr>
          <w:rFonts w:ascii="Times New Roman" w:hAnsi="Times New Roman" w:cs="Times New Roman"/>
          <w:b/>
          <w:bCs/>
          <w:sz w:val="24"/>
          <w:szCs w:val="24"/>
          <w:lang w:val="sr-Cyrl-RS"/>
        </w:rPr>
        <w:t>3</w:t>
      </w:r>
      <w:r w:rsidRPr="006B381E">
        <w:rPr>
          <w:rFonts w:ascii="Times New Roman" w:hAnsi="Times New Roman" w:cs="Times New Roman"/>
          <w:b/>
          <w:bCs/>
          <w:sz w:val="24"/>
          <w:szCs w:val="24"/>
          <w:lang w:val="sr-Cyrl-RS"/>
        </w:rPr>
        <w:t>.202</w:t>
      </w:r>
      <w:r w:rsidR="00804A75" w:rsidRPr="006B381E">
        <w:rPr>
          <w:rFonts w:ascii="Times New Roman" w:hAnsi="Times New Roman" w:cs="Times New Roman"/>
          <w:b/>
          <w:bCs/>
          <w:sz w:val="24"/>
          <w:szCs w:val="24"/>
          <w:lang w:val="sr-Cyrl-RS"/>
        </w:rPr>
        <w:t>4</w:t>
      </w:r>
      <w:r w:rsidRPr="006B381E">
        <w:rPr>
          <w:rFonts w:ascii="Times New Roman" w:hAnsi="Times New Roman" w:cs="Times New Roman"/>
          <w:b/>
          <w:bCs/>
          <w:sz w:val="24"/>
          <w:szCs w:val="24"/>
          <w:lang w:val="sr-Cyrl-RS"/>
        </w:rPr>
        <w:t>.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 поштом или лично на адресу:</w:t>
      </w:r>
      <w:r w:rsidRPr="006B381E">
        <w:rPr>
          <w:rFonts w:ascii="Times New Roman" w:hAnsi="Times New Roman" w:cs="Times New Roman"/>
          <w:sz w:val="24"/>
          <w:szCs w:val="24"/>
          <w:lang w:val="sr-Cyrl-RS"/>
        </w:rPr>
        <w:t xml:space="preserve"> </w:t>
      </w:r>
    </w:p>
    <w:p w14:paraId="2235685A" w14:textId="77777777" w:rsidR="008D1342" w:rsidRPr="006B381E" w:rsidRDefault="0051368F" w:rsidP="00804A75">
      <w:pPr>
        <w:spacing w:after="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Канцеларија за дуално образовање и Национални оквир квалификација </w:t>
      </w:r>
    </w:p>
    <w:p w14:paraId="3CAEF0A4" w14:textId="77777777" w:rsidR="008D1342" w:rsidRPr="006B381E" w:rsidRDefault="0051368F" w:rsidP="00804A75">
      <w:pPr>
        <w:spacing w:after="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Немањина 22-26 </w:t>
      </w:r>
    </w:p>
    <w:p w14:paraId="0F6F2CCD" w14:textId="77777777" w:rsidR="00FB2532" w:rsidRPr="006B381E" w:rsidRDefault="0051368F" w:rsidP="00804A75">
      <w:pPr>
        <w:spacing w:after="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11000 Београд</w:t>
      </w:r>
    </w:p>
    <w:p w14:paraId="6406112D" w14:textId="2C95F1EF" w:rsidR="008D1342" w:rsidRPr="006B381E" w:rsidRDefault="0051368F" w:rsidP="00804A75">
      <w:pPr>
        <w:spacing w:after="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lastRenderedPageBreak/>
        <w:t xml:space="preserve"> </w:t>
      </w:r>
    </w:p>
    <w:p w14:paraId="3D54A345" w14:textId="77777777" w:rsidR="00393AE4" w:rsidRPr="006B381E" w:rsidRDefault="0051368F" w:rsidP="00393AE4">
      <w:pPr>
        <w:spacing w:after="12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170F7" w:rsidRPr="006B381E">
        <w:rPr>
          <w:rFonts w:ascii="Times New Roman" w:hAnsi="Times New Roman" w:cs="Times New Roman"/>
          <w:sz w:val="24"/>
          <w:szCs w:val="24"/>
          <w:lang w:val="sr-Cyrl-RS"/>
        </w:rPr>
        <w:t>к</w:t>
      </w:r>
      <w:r w:rsidR="00463DC4" w:rsidRPr="006B381E">
        <w:rPr>
          <w:rFonts w:ascii="Times New Roman" w:hAnsi="Times New Roman" w:cs="Times New Roman"/>
          <w:sz w:val="24"/>
          <w:szCs w:val="24"/>
          <w:lang w:val="sr-Cyrl-RS"/>
        </w:rPr>
        <w:t>онсултанта за развој стандарда за самовредновање и спољашње вредновање квалитета рада јавно признатог организатора активности образовања одраслих</w:t>
      </w:r>
      <w:r w:rsidRPr="006B381E">
        <w:rPr>
          <w:rFonts w:ascii="Times New Roman" w:hAnsi="Times New Roman" w:cs="Times New Roman"/>
          <w:sz w:val="24"/>
          <w:szCs w:val="24"/>
          <w:lang w:val="sr-Cyrl-RS"/>
        </w:rPr>
        <w:t>”.</w:t>
      </w:r>
    </w:p>
    <w:p w14:paraId="6EA42CFD" w14:textId="63A7B660" w:rsidR="006B381E" w:rsidRPr="006B381E" w:rsidRDefault="00393AE4" w:rsidP="006B381E">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sidR="00D22414">
        <w:rPr>
          <w:rStyle w:val="FootnoteReference"/>
          <w:rFonts w:ascii="Times New Roman" w:hAnsi="Times New Roman" w:cs="Times New Roman"/>
          <w:b/>
          <w:bCs/>
          <w:sz w:val="24"/>
          <w:szCs w:val="24"/>
          <w:lang w:val="sr-Latn-RS"/>
        </w:rPr>
        <w:footnoteReference w:id="1"/>
      </w:r>
      <w:r w:rsidR="0088605D" w:rsidRPr="003D6F31">
        <w:rPr>
          <w:rFonts w:ascii="Times New Roman" w:hAnsi="Times New Roman" w:cs="Times New Roman"/>
          <w:b/>
          <w:bCs/>
          <w:sz w:val="24"/>
          <w:szCs w:val="24"/>
          <w:lang w:val="sr-Cyrl-RS"/>
        </w:rPr>
        <w:t xml:space="preserve"> за реализацију пројектних активности у динарима</w:t>
      </w:r>
      <w:r w:rsidR="000E6820">
        <w:rPr>
          <w:rFonts w:ascii="Times New Roman" w:hAnsi="Times New Roman" w:cs="Times New Roman"/>
          <w:b/>
          <w:bCs/>
          <w:sz w:val="24"/>
          <w:szCs w:val="24"/>
          <w:lang w:val="sr-Latn-RS"/>
        </w:rPr>
        <w:t xml:space="preserve"> (</w:t>
      </w:r>
      <w:r w:rsidR="0088605D" w:rsidRPr="003D6F31">
        <w:rPr>
          <w:rFonts w:ascii="Times New Roman" w:hAnsi="Times New Roman" w:cs="Times New Roman"/>
          <w:b/>
          <w:bCs/>
          <w:sz w:val="24"/>
          <w:szCs w:val="24"/>
          <w:lang w:val="sr-Cyrl-RS"/>
        </w:rPr>
        <w:t>бруто</w:t>
      </w:r>
      <w:r w:rsidR="000E6820">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55AD0C" w:rsidR="00D22414" w:rsidRDefault="00393AE4" w:rsidP="00393AE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Детаљије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w:t>
      </w:r>
      <w:r w:rsidR="006B381E" w:rsidRPr="006B381E">
        <w:rPr>
          <w:rFonts w:ascii="Times New Roman" w:hAnsi="Times New Roman" w:cs="Times New Roman"/>
          <w:sz w:val="24"/>
          <w:szCs w:val="24"/>
          <w:lang w:val="sr-Cyrl-RS"/>
        </w:rPr>
        <w:t>kancelarija</w:t>
      </w:r>
      <w:r w:rsidRPr="006B381E">
        <w:rPr>
          <w:rFonts w:ascii="Times New Roman" w:hAnsi="Times New Roman" w:cs="Times New Roman"/>
          <w:sz w:val="24"/>
          <w:szCs w:val="24"/>
          <w:lang w:val="sr-Cyrl-RS"/>
        </w:rPr>
        <w:t>@dualnok.gov.rs</w:t>
      </w:r>
      <w:r w:rsidR="006B381E" w:rsidRPr="006B381E">
        <w:rPr>
          <w:rFonts w:ascii="Times New Roman" w:hAnsi="Times New Roman" w:cs="Times New Roman"/>
          <w:sz w:val="24"/>
          <w:szCs w:val="24"/>
          <w:lang w:val="sr-Cyrl-RS"/>
        </w:rPr>
        <w:t>.</w:t>
      </w:r>
    </w:p>
    <w:p w14:paraId="7ADC7142" w14:textId="77777777" w:rsidR="00D22414" w:rsidRDefault="00D22414">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14:paraId="53FDA40C" w14:textId="77777777"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448B52C6" w14:textId="77777777" w:rsidR="006036CF" w:rsidRPr="00EC4508" w:rsidRDefault="006036CF" w:rsidP="006036CF">
      <w:pPr>
        <w:spacing w:after="218" w:line="240" w:lineRule="auto"/>
        <w:jc w:val="center"/>
        <w:rPr>
          <w:rFonts w:ascii="Times New Roman" w:eastAsia="Times New Roman" w:hAnsi="Times New Roman"/>
          <w:bCs/>
          <w:iCs/>
          <w:sz w:val="24"/>
          <w:szCs w:val="24"/>
          <w:lang w:val="fil-PH" w:bidi="ne-NP"/>
        </w:rPr>
      </w:pPr>
      <w:r>
        <w:rPr>
          <w:rFonts w:ascii="Times New Roman" w:eastAsia="Times New Roman" w:hAnsi="Times New Roman"/>
          <w:bCs/>
          <w:iCs/>
          <w:sz w:val="24"/>
          <w:szCs w:val="24"/>
          <w:lang w:val="sr-Cyrl-RS" w:bidi="ne-NP"/>
        </w:rPr>
        <w:t>У оквиру пројектног задатка</w:t>
      </w:r>
      <w:r w:rsidRPr="00AF6333">
        <w:rPr>
          <w:rFonts w:ascii="Times New Roman" w:eastAsia="Times New Roman" w:hAnsi="Times New Roman"/>
          <w:bCs/>
          <w:iCs/>
          <w:sz w:val="24"/>
          <w:szCs w:val="24"/>
          <w:lang w:val="sr-Cyrl-RS" w:bidi="ne-NP"/>
        </w:rPr>
        <w:t xml:space="preserve"> развој стандарда за самовредновање и спољашње вредновање квалитета рада јавно признатог организатора активности образовања одраслих</w:t>
      </w:r>
    </w:p>
    <w:p w14:paraId="2FF35DC8" w14:textId="77777777" w:rsidR="006036CF" w:rsidRPr="00A54BB9" w:rsidRDefault="006036CF" w:rsidP="006036CF">
      <w:pPr>
        <w:spacing w:after="218" w:line="240" w:lineRule="auto"/>
        <w:jc w:val="center"/>
        <w:rPr>
          <w:rFonts w:ascii="Times New Roman" w:eastAsia="Times New Roman" w:hAnsi="Times New Roman"/>
          <w:b/>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77777777" w:rsidR="006036CF" w:rsidRPr="00AF6333" w:rsidRDefault="006036CF" w:rsidP="00C206E7">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Реализација активности и исхода предвиђених пројектним задатком</w:t>
            </w:r>
          </w:p>
        </w:tc>
        <w:tc>
          <w:tcPr>
            <w:tcW w:w="2831" w:type="dxa"/>
            <w:shd w:val="clear" w:color="auto" w:fill="auto"/>
          </w:tcPr>
          <w:p w14:paraId="43B70383" w14:textId="77777777" w:rsidR="006036CF" w:rsidRPr="00AF6333" w:rsidRDefault="006036CF" w:rsidP="00C206E7">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p w14:paraId="5F0E9CC4" w14:textId="77777777" w:rsidR="006036CF" w:rsidRPr="002835DB" w:rsidRDefault="006036CF" w:rsidP="00C206E7">
            <w:pPr>
              <w:spacing w:line="240" w:lineRule="auto"/>
              <w:ind w:right="5"/>
              <w:jc w:val="center"/>
              <w:rPr>
                <w:rFonts w:ascii="Times New Roman" w:eastAsia="Times New Roman" w:hAnsi="Times New Roman"/>
                <w:sz w:val="24"/>
                <w:szCs w:val="24"/>
                <w:lang w:val="sr-Cyrl-RS" w:bidi="ne-NP"/>
              </w:rPr>
            </w:pP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C206E7">
            <w:pPr>
              <w:spacing w:line="240" w:lineRule="auto"/>
              <w:ind w:right="5"/>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F7B1F">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C3FC" w14:textId="77777777" w:rsidR="00CF7B1F" w:rsidRDefault="00CF7B1F" w:rsidP="002526BE">
      <w:pPr>
        <w:spacing w:after="0" w:line="240" w:lineRule="auto"/>
      </w:pPr>
      <w:r>
        <w:separator/>
      </w:r>
    </w:p>
  </w:endnote>
  <w:endnote w:type="continuationSeparator" w:id="0">
    <w:p w14:paraId="78DA4D13" w14:textId="77777777" w:rsidR="00CF7B1F" w:rsidRDefault="00CF7B1F"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79BB" w14:textId="00DB053A" w:rsidR="0037324D" w:rsidRDefault="005F692D">
    <w:pPr>
      <w:pStyle w:val="Footer"/>
    </w:pPr>
    <w:r>
      <w:rPr>
        <w:noProof/>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F792" w14:textId="77777777" w:rsidR="00CF7B1F" w:rsidRDefault="00CF7B1F" w:rsidP="002526BE">
      <w:pPr>
        <w:spacing w:after="0" w:line="240" w:lineRule="auto"/>
      </w:pPr>
      <w:r>
        <w:separator/>
      </w:r>
    </w:p>
  </w:footnote>
  <w:footnote w:type="continuationSeparator" w:id="0">
    <w:p w14:paraId="3378E71F" w14:textId="77777777" w:rsidR="00CF7B1F" w:rsidRDefault="00CF7B1F" w:rsidP="002526BE">
      <w:pPr>
        <w:spacing w:after="0" w:line="240" w:lineRule="auto"/>
      </w:pPr>
      <w:r>
        <w:continuationSeparator/>
      </w:r>
    </w:p>
  </w:footnote>
  <w:footnote w:id="1">
    <w:p w14:paraId="340C620F" w14:textId="77777777" w:rsidR="00D22414" w:rsidRPr="00D22414" w:rsidRDefault="00D22414" w:rsidP="00D22414">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0B97" w14:textId="4D5AA48E" w:rsidR="0037324D" w:rsidRDefault="00C90EC0">
    <w:pPr>
      <w:pStyle w:val="Header"/>
    </w:pPr>
    <w:r>
      <w:rPr>
        <w:noProof/>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045662">
    <w:abstractNumId w:val="23"/>
  </w:num>
  <w:num w:numId="2" w16cid:durableId="214582029">
    <w:abstractNumId w:val="1"/>
  </w:num>
  <w:num w:numId="3" w16cid:durableId="1601526146">
    <w:abstractNumId w:val="6"/>
  </w:num>
  <w:num w:numId="4" w16cid:durableId="993879379">
    <w:abstractNumId w:val="24"/>
  </w:num>
  <w:num w:numId="5" w16cid:durableId="754285614">
    <w:abstractNumId w:val="21"/>
  </w:num>
  <w:num w:numId="6" w16cid:durableId="1512523431">
    <w:abstractNumId w:val="12"/>
  </w:num>
  <w:num w:numId="7" w16cid:durableId="279653983">
    <w:abstractNumId w:val="11"/>
  </w:num>
  <w:num w:numId="8" w16cid:durableId="559170958">
    <w:abstractNumId w:val="2"/>
  </w:num>
  <w:num w:numId="9" w16cid:durableId="1011419391">
    <w:abstractNumId w:val="19"/>
  </w:num>
  <w:num w:numId="10" w16cid:durableId="771316552">
    <w:abstractNumId w:val="3"/>
  </w:num>
  <w:num w:numId="11" w16cid:durableId="1702245066">
    <w:abstractNumId w:val="25"/>
  </w:num>
  <w:num w:numId="12" w16cid:durableId="774983163">
    <w:abstractNumId w:val="15"/>
  </w:num>
  <w:num w:numId="13" w16cid:durableId="228007296">
    <w:abstractNumId w:val="10"/>
  </w:num>
  <w:num w:numId="14" w16cid:durableId="1625961449">
    <w:abstractNumId w:val="4"/>
  </w:num>
  <w:num w:numId="15" w16cid:durableId="1780376040">
    <w:abstractNumId w:val="14"/>
  </w:num>
  <w:num w:numId="16" w16cid:durableId="1713457980">
    <w:abstractNumId w:val="13"/>
  </w:num>
  <w:num w:numId="17" w16cid:durableId="907035220">
    <w:abstractNumId w:val="16"/>
  </w:num>
  <w:num w:numId="18" w16cid:durableId="156658647">
    <w:abstractNumId w:val="20"/>
  </w:num>
  <w:num w:numId="19" w16cid:durableId="827134969">
    <w:abstractNumId w:val="5"/>
  </w:num>
  <w:num w:numId="20" w16cid:durableId="816537630">
    <w:abstractNumId w:val="18"/>
  </w:num>
  <w:num w:numId="21" w16cid:durableId="1308588064">
    <w:abstractNumId w:val="8"/>
  </w:num>
  <w:num w:numId="22" w16cid:durableId="1315253958">
    <w:abstractNumId w:val="7"/>
  </w:num>
  <w:num w:numId="23" w16cid:durableId="1272781070">
    <w:abstractNumId w:val="22"/>
  </w:num>
  <w:num w:numId="24" w16cid:durableId="279187498">
    <w:abstractNumId w:val="17"/>
  </w:num>
  <w:num w:numId="25" w16cid:durableId="1744334389">
    <w:abstractNumId w:val="9"/>
  </w:num>
  <w:num w:numId="26" w16cid:durableId="10794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E5"/>
    <w:rsid w:val="000170F7"/>
    <w:rsid w:val="00025701"/>
    <w:rsid w:val="00041D95"/>
    <w:rsid w:val="00057E24"/>
    <w:rsid w:val="000B1185"/>
    <w:rsid w:val="000B1CE8"/>
    <w:rsid w:val="000D3D15"/>
    <w:rsid w:val="000E6820"/>
    <w:rsid w:val="00100FD7"/>
    <w:rsid w:val="0010570A"/>
    <w:rsid w:val="00106114"/>
    <w:rsid w:val="00145543"/>
    <w:rsid w:val="001848D8"/>
    <w:rsid w:val="001A1FBC"/>
    <w:rsid w:val="001B1996"/>
    <w:rsid w:val="001E1E2B"/>
    <w:rsid w:val="001E3C7E"/>
    <w:rsid w:val="001E4AC8"/>
    <w:rsid w:val="00203701"/>
    <w:rsid w:val="00212BD3"/>
    <w:rsid w:val="00213AB0"/>
    <w:rsid w:val="00225E20"/>
    <w:rsid w:val="00247973"/>
    <w:rsid w:val="002526BE"/>
    <w:rsid w:val="0026207B"/>
    <w:rsid w:val="0028416B"/>
    <w:rsid w:val="002A699D"/>
    <w:rsid w:val="002B6699"/>
    <w:rsid w:val="002B69F3"/>
    <w:rsid w:val="002D0FF1"/>
    <w:rsid w:val="002D4465"/>
    <w:rsid w:val="002D7744"/>
    <w:rsid w:val="002E132E"/>
    <w:rsid w:val="002E6082"/>
    <w:rsid w:val="002F1A5F"/>
    <w:rsid w:val="00325890"/>
    <w:rsid w:val="00333FA6"/>
    <w:rsid w:val="00335112"/>
    <w:rsid w:val="003418EA"/>
    <w:rsid w:val="00344DD5"/>
    <w:rsid w:val="003542DA"/>
    <w:rsid w:val="0037324D"/>
    <w:rsid w:val="00393AE4"/>
    <w:rsid w:val="00394E64"/>
    <w:rsid w:val="003974AC"/>
    <w:rsid w:val="003A3342"/>
    <w:rsid w:val="003A701D"/>
    <w:rsid w:val="003C3EF5"/>
    <w:rsid w:val="003D6F31"/>
    <w:rsid w:val="003E1227"/>
    <w:rsid w:val="003F1323"/>
    <w:rsid w:val="00401354"/>
    <w:rsid w:val="00405A7A"/>
    <w:rsid w:val="0042589B"/>
    <w:rsid w:val="004261D1"/>
    <w:rsid w:val="0042788F"/>
    <w:rsid w:val="004348F1"/>
    <w:rsid w:val="00435BFF"/>
    <w:rsid w:val="004508E5"/>
    <w:rsid w:val="004621B2"/>
    <w:rsid w:val="00463DC4"/>
    <w:rsid w:val="0047746D"/>
    <w:rsid w:val="004847E0"/>
    <w:rsid w:val="004A39C2"/>
    <w:rsid w:val="004B5465"/>
    <w:rsid w:val="00501176"/>
    <w:rsid w:val="0051368F"/>
    <w:rsid w:val="00522D2F"/>
    <w:rsid w:val="00537E06"/>
    <w:rsid w:val="005428E9"/>
    <w:rsid w:val="00546D9D"/>
    <w:rsid w:val="00551687"/>
    <w:rsid w:val="00567ABA"/>
    <w:rsid w:val="0059297A"/>
    <w:rsid w:val="00592C1E"/>
    <w:rsid w:val="005E1491"/>
    <w:rsid w:val="005F692D"/>
    <w:rsid w:val="006036CF"/>
    <w:rsid w:val="00606E74"/>
    <w:rsid w:val="00614710"/>
    <w:rsid w:val="00657004"/>
    <w:rsid w:val="006570C6"/>
    <w:rsid w:val="006605F1"/>
    <w:rsid w:val="00673E59"/>
    <w:rsid w:val="006B1A84"/>
    <w:rsid w:val="006B381E"/>
    <w:rsid w:val="006B74B9"/>
    <w:rsid w:val="006C5A48"/>
    <w:rsid w:val="006D160B"/>
    <w:rsid w:val="006D60C1"/>
    <w:rsid w:val="006E1799"/>
    <w:rsid w:val="006F01E1"/>
    <w:rsid w:val="006F1697"/>
    <w:rsid w:val="00714CF5"/>
    <w:rsid w:val="00723CF4"/>
    <w:rsid w:val="00734B51"/>
    <w:rsid w:val="0074043D"/>
    <w:rsid w:val="00742282"/>
    <w:rsid w:val="00763BB8"/>
    <w:rsid w:val="00777284"/>
    <w:rsid w:val="0078213E"/>
    <w:rsid w:val="00786D02"/>
    <w:rsid w:val="0078732E"/>
    <w:rsid w:val="007A39CD"/>
    <w:rsid w:val="007C45B4"/>
    <w:rsid w:val="007C64C3"/>
    <w:rsid w:val="007D0846"/>
    <w:rsid w:val="007E5376"/>
    <w:rsid w:val="007F0762"/>
    <w:rsid w:val="00804A75"/>
    <w:rsid w:val="00820F36"/>
    <w:rsid w:val="00831A51"/>
    <w:rsid w:val="00834A80"/>
    <w:rsid w:val="008422F4"/>
    <w:rsid w:val="00846C25"/>
    <w:rsid w:val="0084763B"/>
    <w:rsid w:val="00860749"/>
    <w:rsid w:val="00880CB8"/>
    <w:rsid w:val="0088605D"/>
    <w:rsid w:val="008965CD"/>
    <w:rsid w:val="008B2668"/>
    <w:rsid w:val="008C0129"/>
    <w:rsid w:val="008D1342"/>
    <w:rsid w:val="008D3453"/>
    <w:rsid w:val="008E46EC"/>
    <w:rsid w:val="00917D85"/>
    <w:rsid w:val="009235F4"/>
    <w:rsid w:val="00927EDF"/>
    <w:rsid w:val="009347D0"/>
    <w:rsid w:val="00935F6B"/>
    <w:rsid w:val="00947F32"/>
    <w:rsid w:val="00981ECF"/>
    <w:rsid w:val="009A072F"/>
    <w:rsid w:val="009A54E8"/>
    <w:rsid w:val="009B184D"/>
    <w:rsid w:val="009D00F1"/>
    <w:rsid w:val="009D59B1"/>
    <w:rsid w:val="00A0121C"/>
    <w:rsid w:val="00A046DD"/>
    <w:rsid w:val="00A07FE4"/>
    <w:rsid w:val="00A1029D"/>
    <w:rsid w:val="00A14377"/>
    <w:rsid w:val="00A42A3A"/>
    <w:rsid w:val="00A55DEE"/>
    <w:rsid w:val="00A5768D"/>
    <w:rsid w:val="00A84BF9"/>
    <w:rsid w:val="00A93171"/>
    <w:rsid w:val="00A938CB"/>
    <w:rsid w:val="00A96C7A"/>
    <w:rsid w:val="00AA0FDC"/>
    <w:rsid w:val="00AB0E52"/>
    <w:rsid w:val="00AC6223"/>
    <w:rsid w:val="00AD3234"/>
    <w:rsid w:val="00AE0E17"/>
    <w:rsid w:val="00AF75B7"/>
    <w:rsid w:val="00B04E32"/>
    <w:rsid w:val="00B106A1"/>
    <w:rsid w:val="00B15969"/>
    <w:rsid w:val="00B3115B"/>
    <w:rsid w:val="00B406DE"/>
    <w:rsid w:val="00B45DE3"/>
    <w:rsid w:val="00B54D7A"/>
    <w:rsid w:val="00B662D9"/>
    <w:rsid w:val="00B86CB4"/>
    <w:rsid w:val="00BB0107"/>
    <w:rsid w:val="00BC2C50"/>
    <w:rsid w:val="00BC3DFE"/>
    <w:rsid w:val="00BD071C"/>
    <w:rsid w:val="00BD0E64"/>
    <w:rsid w:val="00BD4584"/>
    <w:rsid w:val="00C07980"/>
    <w:rsid w:val="00C263F6"/>
    <w:rsid w:val="00C336BD"/>
    <w:rsid w:val="00C51EC1"/>
    <w:rsid w:val="00C808E8"/>
    <w:rsid w:val="00C86A10"/>
    <w:rsid w:val="00C90EC0"/>
    <w:rsid w:val="00C92EF4"/>
    <w:rsid w:val="00C95642"/>
    <w:rsid w:val="00C97B97"/>
    <w:rsid w:val="00CA2BDE"/>
    <w:rsid w:val="00CA7E14"/>
    <w:rsid w:val="00CD1AB2"/>
    <w:rsid w:val="00CD6692"/>
    <w:rsid w:val="00CE1331"/>
    <w:rsid w:val="00CE3C6F"/>
    <w:rsid w:val="00CE65FC"/>
    <w:rsid w:val="00CF5189"/>
    <w:rsid w:val="00CF7B1F"/>
    <w:rsid w:val="00D11989"/>
    <w:rsid w:val="00D22414"/>
    <w:rsid w:val="00D25C13"/>
    <w:rsid w:val="00D25E64"/>
    <w:rsid w:val="00D37E9D"/>
    <w:rsid w:val="00D437FE"/>
    <w:rsid w:val="00D458D0"/>
    <w:rsid w:val="00D709F5"/>
    <w:rsid w:val="00D722FF"/>
    <w:rsid w:val="00D73F43"/>
    <w:rsid w:val="00D94310"/>
    <w:rsid w:val="00DA3676"/>
    <w:rsid w:val="00DD1187"/>
    <w:rsid w:val="00DE408E"/>
    <w:rsid w:val="00DE48BA"/>
    <w:rsid w:val="00E119CE"/>
    <w:rsid w:val="00E1669E"/>
    <w:rsid w:val="00E25A66"/>
    <w:rsid w:val="00E32CE9"/>
    <w:rsid w:val="00E37463"/>
    <w:rsid w:val="00E4253B"/>
    <w:rsid w:val="00E507F0"/>
    <w:rsid w:val="00E5101C"/>
    <w:rsid w:val="00E55714"/>
    <w:rsid w:val="00EB7A2B"/>
    <w:rsid w:val="00EC3BCA"/>
    <w:rsid w:val="00ED63B7"/>
    <w:rsid w:val="00EE758A"/>
    <w:rsid w:val="00F02D74"/>
    <w:rsid w:val="00F10039"/>
    <w:rsid w:val="00F2046B"/>
    <w:rsid w:val="00F27DBB"/>
    <w:rsid w:val="00F32661"/>
    <w:rsid w:val="00F34176"/>
    <w:rsid w:val="00F350ED"/>
    <w:rsid w:val="00F41E52"/>
    <w:rsid w:val="00F427BC"/>
    <w:rsid w:val="00F616A2"/>
    <w:rsid w:val="00F8575A"/>
    <w:rsid w:val="00F97B3A"/>
    <w:rsid w:val="00FB21EE"/>
    <w:rsid w:val="00FB2532"/>
    <w:rsid w:val="00FB4570"/>
    <w:rsid w:val="00FD4E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styleId="UnresolvedMention">
    <w:name w:val="Unresolved Mention"/>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nhideWhenUsed/>
    <w:rsid w:val="00100FD7"/>
    <w:rPr>
      <w:sz w:val="16"/>
      <w:szCs w:val="16"/>
    </w:rPr>
  </w:style>
  <w:style w:type="paragraph" w:styleId="CommentText">
    <w:name w:val="annotation text"/>
    <w:basedOn w:val="Normal"/>
    <w:link w:val="CommentTextChar"/>
    <w:unhideWhenUsed/>
    <w:rsid w:val="00100FD7"/>
    <w:pPr>
      <w:spacing w:line="240" w:lineRule="auto"/>
    </w:pPr>
    <w:rPr>
      <w:sz w:val="20"/>
      <w:szCs w:val="20"/>
    </w:rPr>
  </w:style>
  <w:style w:type="character" w:customStyle="1" w:styleId="CommentTextChar">
    <w:name w:val="Comment Text Char"/>
    <w:basedOn w:val="DefaultParagraphFont"/>
    <w:link w:val="CommentText"/>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B311-BBCD-48AA-AB48-817099C5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cp:lastModifiedBy>
  <cp:revision>55</cp:revision>
  <dcterms:created xsi:type="dcterms:W3CDTF">2024-02-26T12:22:00Z</dcterms:created>
  <dcterms:modified xsi:type="dcterms:W3CDTF">2024-02-27T09:41:00Z</dcterms:modified>
</cp:coreProperties>
</file>